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EFB" w:rsidRDefault="00E05EFB">
      <w:pPr>
        <w:spacing w:after="0" w:line="360" w:lineRule="auto"/>
        <w:jc w:val="center"/>
        <w:rPr>
          <w:rFonts w:ascii="Times New Roman" w:hAnsi="Times New Roman"/>
          <w:b/>
          <w:sz w:val="24"/>
        </w:rPr>
      </w:pPr>
      <w:r>
        <w:rPr>
          <w:rFonts w:ascii="Times New Roman" w:hAnsi="Times New Roman"/>
          <w:b/>
          <w:sz w:val="24"/>
        </w:rPr>
        <w:t xml:space="preserve">Федеральное государственное бюджетное учреждение </w:t>
      </w:r>
    </w:p>
    <w:p w:rsidR="00E05EFB" w:rsidRDefault="00E05EFB">
      <w:pPr>
        <w:spacing w:after="0" w:line="360" w:lineRule="auto"/>
        <w:jc w:val="center"/>
        <w:rPr>
          <w:rFonts w:ascii="Times New Roman" w:hAnsi="Times New Roman"/>
          <w:b/>
          <w:sz w:val="24"/>
        </w:rPr>
      </w:pPr>
      <w:r>
        <w:rPr>
          <w:rFonts w:ascii="Times New Roman" w:hAnsi="Times New Roman"/>
          <w:b/>
          <w:sz w:val="24"/>
        </w:rPr>
        <w:t>высшего профессионального образования</w:t>
      </w:r>
    </w:p>
    <w:p w:rsidR="00E05EFB" w:rsidRDefault="00E05EFB">
      <w:pPr>
        <w:spacing w:after="0" w:line="360" w:lineRule="auto"/>
        <w:jc w:val="center"/>
        <w:rPr>
          <w:rFonts w:ascii="Times New Roman" w:hAnsi="Times New Roman"/>
          <w:b/>
          <w:sz w:val="24"/>
        </w:rPr>
      </w:pPr>
      <w:r>
        <w:rPr>
          <w:rFonts w:ascii="Times New Roman" w:hAnsi="Times New Roman"/>
          <w:b/>
          <w:sz w:val="24"/>
        </w:rPr>
        <w:t xml:space="preserve">«Пермский государственный </w:t>
      </w:r>
    </w:p>
    <w:p w:rsidR="00E05EFB" w:rsidRDefault="00E05EFB">
      <w:pPr>
        <w:spacing w:after="0" w:line="360" w:lineRule="auto"/>
        <w:jc w:val="center"/>
        <w:rPr>
          <w:rFonts w:ascii="Times New Roman" w:hAnsi="Times New Roman"/>
          <w:b/>
          <w:sz w:val="24"/>
        </w:rPr>
      </w:pPr>
      <w:r>
        <w:rPr>
          <w:rFonts w:ascii="Times New Roman" w:hAnsi="Times New Roman"/>
          <w:b/>
          <w:sz w:val="24"/>
        </w:rPr>
        <w:t>национальный исследовательский университет»</w:t>
      </w:r>
    </w:p>
    <w:p w:rsidR="00E05EFB" w:rsidRDefault="00E05EFB">
      <w:pPr>
        <w:spacing w:after="0" w:line="360" w:lineRule="auto"/>
        <w:jc w:val="center"/>
        <w:rPr>
          <w:rFonts w:ascii="Times New Roman" w:hAnsi="Times New Roman"/>
          <w:b/>
          <w:sz w:val="24"/>
        </w:rPr>
      </w:pPr>
      <w:r>
        <w:rPr>
          <w:rFonts w:ascii="Times New Roman" w:hAnsi="Times New Roman"/>
          <w:b/>
          <w:sz w:val="24"/>
        </w:rPr>
        <w:t>Юридический факультет</w:t>
      </w:r>
    </w:p>
    <w:p w:rsidR="00E05EFB" w:rsidRDefault="00E05EFB">
      <w:pPr>
        <w:spacing w:after="0" w:line="360" w:lineRule="auto"/>
        <w:jc w:val="center"/>
        <w:rPr>
          <w:rFonts w:ascii="Times New Roman" w:hAnsi="Times New Roman"/>
          <w:b/>
          <w:sz w:val="24"/>
        </w:rPr>
      </w:pPr>
      <w:r>
        <w:rPr>
          <w:rFonts w:ascii="Times New Roman" w:hAnsi="Times New Roman"/>
          <w:b/>
          <w:sz w:val="24"/>
        </w:rPr>
        <w:t>Кафедра социальной работы</w:t>
      </w: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r>
        <w:rPr>
          <w:rFonts w:ascii="Times New Roman" w:hAnsi="Times New Roman"/>
          <w:b/>
          <w:sz w:val="24"/>
        </w:rPr>
        <w:t>ОТЧЕТ</w:t>
      </w:r>
    </w:p>
    <w:p w:rsidR="00E05EFB" w:rsidRDefault="00E05EFB">
      <w:pPr>
        <w:spacing w:after="0" w:line="360" w:lineRule="auto"/>
        <w:jc w:val="center"/>
        <w:rPr>
          <w:rFonts w:ascii="Times New Roman" w:hAnsi="Times New Roman"/>
          <w:b/>
          <w:sz w:val="24"/>
        </w:rPr>
      </w:pPr>
      <w:r>
        <w:rPr>
          <w:rFonts w:ascii="Times New Roman" w:hAnsi="Times New Roman"/>
          <w:b/>
          <w:sz w:val="24"/>
        </w:rPr>
        <w:t xml:space="preserve">О ПРОВЕДЕНИИ НЕЗАВИСИМОЙ ОЦЕНКИ </w:t>
      </w:r>
    </w:p>
    <w:p w:rsidR="00E05EFB" w:rsidRDefault="00E05EFB">
      <w:pPr>
        <w:spacing w:after="0" w:line="360" w:lineRule="auto"/>
        <w:jc w:val="center"/>
        <w:rPr>
          <w:rFonts w:ascii="Times New Roman" w:hAnsi="Times New Roman"/>
          <w:b/>
          <w:sz w:val="24"/>
        </w:rPr>
      </w:pPr>
      <w:r>
        <w:rPr>
          <w:rFonts w:ascii="Times New Roman" w:hAnsi="Times New Roman"/>
          <w:b/>
          <w:sz w:val="24"/>
        </w:rPr>
        <w:t xml:space="preserve">КАЧЕСТВА СОЦИАЛЬНЫХ УСЛУГ, </w:t>
      </w:r>
    </w:p>
    <w:p w:rsidR="00E05EFB" w:rsidRDefault="00E05EFB">
      <w:pPr>
        <w:spacing w:after="0" w:line="360" w:lineRule="auto"/>
        <w:jc w:val="center"/>
        <w:rPr>
          <w:rFonts w:ascii="Times New Roman" w:hAnsi="Times New Roman"/>
          <w:b/>
          <w:sz w:val="24"/>
        </w:rPr>
      </w:pPr>
      <w:proofErr w:type="gramStart"/>
      <w:r>
        <w:rPr>
          <w:rFonts w:ascii="Times New Roman" w:hAnsi="Times New Roman"/>
          <w:b/>
          <w:sz w:val="24"/>
        </w:rPr>
        <w:t>ОКАЗЫВАЕМЫХ</w:t>
      </w:r>
      <w:proofErr w:type="gramEnd"/>
      <w:r>
        <w:rPr>
          <w:rFonts w:ascii="Times New Roman" w:hAnsi="Times New Roman"/>
          <w:b/>
          <w:sz w:val="24"/>
        </w:rPr>
        <w:t xml:space="preserve"> УЧРЕЖДЕНИЯМИ </w:t>
      </w:r>
    </w:p>
    <w:p w:rsidR="00E05EFB" w:rsidRDefault="00E05EFB">
      <w:pPr>
        <w:spacing w:after="0" w:line="360" w:lineRule="auto"/>
        <w:jc w:val="center"/>
        <w:rPr>
          <w:rFonts w:ascii="Times New Roman" w:hAnsi="Times New Roman"/>
          <w:b/>
          <w:sz w:val="24"/>
        </w:rPr>
      </w:pPr>
      <w:r>
        <w:rPr>
          <w:rFonts w:ascii="Times New Roman" w:hAnsi="Times New Roman"/>
          <w:b/>
          <w:sz w:val="24"/>
        </w:rPr>
        <w:t xml:space="preserve">СОЦИАЛЬНОГО ОБСЛУЖИВАНИЯ ПЕРМСКОГО КРАЯ </w:t>
      </w:r>
    </w:p>
    <w:p w:rsidR="00E05EFB" w:rsidRDefault="00E05EFB">
      <w:pPr>
        <w:spacing w:after="0" w:line="360" w:lineRule="auto"/>
        <w:jc w:val="center"/>
        <w:rPr>
          <w:rFonts w:ascii="Times New Roman" w:hAnsi="Times New Roman"/>
          <w:b/>
          <w:sz w:val="24"/>
        </w:rPr>
      </w:pPr>
      <w:r>
        <w:rPr>
          <w:rFonts w:ascii="Times New Roman" w:hAnsi="Times New Roman"/>
          <w:b/>
          <w:sz w:val="24"/>
        </w:rPr>
        <w:t>(СТАЦИОНАРЫ)</w:t>
      </w: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r>
        <w:rPr>
          <w:rFonts w:ascii="Times New Roman" w:hAnsi="Times New Roman"/>
          <w:b/>
          <w:sz w:val="24"/>
        </w:rPr>
        <w:t>Пермь 2016</w:t>
      </w:r>
    </w:p>
    <w:p w:rsidR="00E05EFB" w:rsidRDefault="00E05EFB">
      <w:pPr>
        <w:spacing w:after="0" w:line="360" w:lineRule="auto"/>
        <w:jc w:val="center"/>
        <w:rPr>
          <w:rFonts w:ascii="Times New Roman" w:hAnsi="Times New Roman"/>
          <w:b/>
          <w:sz w:val="24"/>
        </w:rPr>
      </w:pPr>
    </w:p>
    <w:p w:rsidR="00E05EFB" w:rsidRDefault="00E05EFB">
      <w:pPr>
        <w:spacing w:after="0" w:line="360" w:lineRule="auto"/>
        <w:ind w:firstLine="567"/>
        <w:jc w:val="center"/>
        <w:rPr>
          <w:rFonts w:ascii="Times New Roman" w:hAnsi="Times New Roman"/>
          <w:b/>
          <w:sz w:val="24"/>
        </w:rPr>
      </w:pPr>
    </w:p>
    <w:p w:rsidR="00E05EFB" w:rsidRDefault="00E05EFB">
      <w:pPr>
        <w:rPr>
          <w:rFonts w:ascii="Times New Roman" w:hAnsi="Times New Roman"/>
          <w:b/>
          <w:sz w:val="28"/>
        </w:rPr>
      </w:pPr>
      <w:r>
        <w:rPr>
          <w:rFonts w:ascii="Times New Roman" w:hAnsi="Times New Roman"/>
          <w:b/>
          <w:sz w:val="28"/>
        </w:rPr>
        <w:br w:type="page"/>
      </w:r>
    </w:p>
    <w:p w:rsidR="00E05EFB" w:rsidRDefault="00E05EFB">
      <w:pPr>
        <w:spacing w:after="0" w:line="360" w:lineRule="auto"/>
        <w:ind w:firstLine="567"/>
        <w:jc w:val="center"/>
        <w:rPr>
          <w:rFonts w:ascii="Times New Roman" w:hAnsi="Times New Roman"/>
          <w:b/>
          <w:sz w:val="28"/>
        </w:rPr>
      </w:pPr>
      <w:r>
        <w:rPr>
          <w:rFonts w:ascii="Times New Roman" w:hAnsi="Times New Roman"/>
          <w:b/>
          <w:sz w:val="28"/>
        </w:rPr>
        <w:lastRenderedPageBreak/>
        <w:t>Содержание</w:t>
      </w:r>
    </w:p>
    <w:p w:rsidR="00E05EFB" w:rsidRDefault="00E05EFB">
      <w:pPr>
        <w:spacing w:after="0" w:line="360" w:lineRule="auto"/>
        <w:ind w:firstLine="567"/>
        <w:jc w:val="both"/>
        <w:rPr>
          <w:rFonts w:ascii="Times New Roman" w:hAnsi="Times New Roman"/>
          <w:b/>
          <w:sz w:val="24"/>
        </w:rPr>
      </w:pPr>
      <w:r>
        <w:rPr>
          <w:rFonts w:ascii="Times New Roman" w:hAnsi="Times New Roman"/>
          <w:b/>
          <w:sz w:val="24"/>
        </w:rPr>
        <w:t>Введение</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Методика проведения независимой оценки. Критерии оценки</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Оценка открытости и доступности информации об организации социального обслуживания</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Оценка комфортности условий предоставления социальных услуг и доступность их получения</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Оценка доброжелательности, вежливости, компетентности работников организаций социального обслуживания</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Оценка удовлетворенности качеством оказания услуг</w:t>
      </w:r>
    </w:p>
    <w:p w:rsidR="00E05EFB" w:rsidRDefault="00E05EFB">
      <w:pPr>
        <w:numPr>
          <w:ilvl w:val="0"/>
          <w:numId w:val="1"/>
        </w:numPr>
        <w:spacing w:after="0" w:line="360" w:lineRule="auto"/>
        <w:ind w:firstLine="284"/>
        <w:jc w:val="both"/>
        <w:rPr>
          <w:rFonts w:ascii="Times New Roman" w:hAnsi="Times New Roman"/>
          <w:sz w:val="24"/>
        </w:rPr>
      </w:pPr>
      <w:r>
        <w:rPr>
          <w:rFonts w:ascii="Times New Roman" w:hAnsi="Times New Roman"/>
          <w:sz w:val="24"/>
        </w:rPr>
        <w:t>Рекомендации для учреждений по улучшения качества оказания услуг</w:t>
      </w:r>
    </w:p>
    <w:p w:rsidR="00E05EFB" w:rsidRDefault="00E05EFB">
      <w:pPr>
        <w:spacing w:after="0" w:line="360" w:lineRule="auto"/>
        <w:ind w:left="284"/>
        <w:jc w:val="both"/>
        <w:rPr>
          <w:rFonts w:ascii="Times New Roman" w:hAnsi="Times New Roman"/>
          <w:b/>
          <w:sz w:val="24"/>
        </w:rPr>
      </w:pPr>
      <w:r>
        <w:rPr>
          <w:rFonts w:ascii="Times New Roman" w:hAnsi="Times New Roman"/>
          <w:b/>
          <w:sz w:val="24"/>
        </w:rPr>
        <w:t>Приложение</w:t>
      </w:r>
    </w:p>
    <w:p w:rsidR="00E05EFB" w:rsidRDefault="00E05EFB">
      <w:pPr>
        <w:suppressAutoHyphens/>
        <w:spacing w:after="0" w:line="360" w:lineRule="auto"/>
        <w:ind w:left="360"/>
        <w:jc w:val="both"/>
        <w:rPr>
          <w:rFonts w:ascii="Times New Roman" w:hAnsi="Times New Roman"/>
          <w:sz w:val="24"/>
        </w:rPr>
      </w:pPr>
    </w:p>
    <w:p w:rsidR="00E05EFB" w:rsidRDefault="00E05EFB">
      <w:pPr>
        <w:suppressAutoHyphens/>
        <w:spacing w:after="0" w:line="360" w:lineRule="auto"/>
        <w:ind w:left="360"/>
        <w:jc w:val="both"/>
        <w:rPr>
          <w:rFonts w:ascii="Times New Roman" w:hAnsi="Times New Roman"/>
          <w:b/>
          <w:sz w:val="24"/>
        </w:rPr>
      </w:pPr>
      <w:r>
        <w:rPr>
          <w:rFonts w:ascii="Times New Roman" w:hAnsi="Times New Roman"/>
          <w:b/>
          <w:sz w:val="24"/>
        </w:rPr>
        <w:t xml:space="preserve"> </w:t>
      </w:r>
    </w:p>
    <w:p w:rsidR="00E05EFB" w:rsidRDefault="00E05EFB">
      <w:pPr>
        <w:spacing w:line="360" w:lineRule="auto"/>
        <w:ind w:firstLine="567"/>
        <w:rPr>
          <w:rFonts w:ascii="Times New Roman" w:hAnsi="Times New Roman"/>
          <w:b/>
          <w:sz w:val="24"/>
        </w:rPr>
      </w:pPr>
    </w:p>
    <w:p w:rsidR="00E05EFB" w:rsidRDefault="00E05EFB">
      <w:pPr>
        <w:spacing w:after="0" w:line="360" w:lineRule="auto"/>
        <w:ind w:firstLine="567"/>
        <w:jc w:val="center"/>
        <w:rPr>
          <w:rFonts w:ascii="Times New Roman" w:hAnsi="Times New Roman"/>
          <w:b/>
          <w:sz w:val="24"/>
        </w:rPr>
      </w:pPr>
    </w:p>
    <w:p w:rsidR="00E05EFB" w:rsidRDefault="00E05EFB">
      <w:pPr>
        <w:rPr>
          <w:rFonts w:ascii="Times New Roman" w:hAnsi="Times New Roman"/>
          <w:b/>
          <w:sz w:val="24"/>
        </w:rPr>
      </w:pPr>
      <w:r>
        <w:rPr>
          <w:rFonts w:ascii="Times New Roman" w:hAnsi="Times New Roman"/>
          <w:b/>
          <w:sz w:val="24"/>
        </w:rPr>
        <w:br w:type="page"/>
      </w:r>
    </w:p>
    <w:p w:rsidR="00E05EFB" w:rsidRDefault="00E05EFB">
      <w:pPr>
        <w:spacing w:after="0" w:line="360" w:lineRule="auto"/>
        <w:ind w:firstLine="567"/>
        <w:jc w:val="center"/>
        <w:rPr>
          <w:rFonts w:ascii="Times New Roman" w:hAnsi="Times New Roman"/>
          <w:b/>
          <w:sz w:val="24"/>
        </w:rPr>
      </w:pPr>
      <w:r>
        <w:rPr>
          <w:rFonts w:ascii="Times New Roman" w:hAnsi="Times New Roman"/>
          <w:b/>
          <w:sz w:val="24"/>
        </w:rPr>
        <w:lastRenderedPageBreak/>
        <w:t>Введение.</w:t>
      </w:r>
    </w:p>
    <w:p w:rsidR="00E05EFB" w:rsidRDefault="00E05EFB">
      <w:pPr>
        <w:spacing w:after="0" w:line="360" w:lineRule="auto"/>
        <w:ind w:firstLine="567"/>
        <w:jc w:val="center"/>
        <w:rPr>
          <w:rFonts w:ascii="Times New Roman" w:hAnsi="Times New Roman"/>
          <w:b/>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 июля по ноябрь 2015 года ФГБОУ ВПО «Пермским государственным национальным исследовательским университетом» по заказу Министерства социального развития Пермского края была проведена независимая оценка качества социальных услуг, оказываемых  учреждениями социального обслуживания стационарного типа. Экспертиза проводилась преподавателями кафедры социальной работы и </w:t>
      </w:r>
      <w:proofErr w:type="spellStart"/>
      <w:r>
        <w:rPr>
          <w:rFonts w:ascii="Times New Roman" w:hAnsi="Times New Roman"/>
          <w:sz w:val="24"/>
        </w:rPr>
        <w:t>конфликтологии</w:t>
      </w:r>
      <w:proofErr w:type="spellEnd"/>
      <w:r>
        <w:rPr>
          <w:rFonts w:ascii="Times New Roman" w:hAnsi="Times New Roman"/>
          <w:sz w:val="24"/>
        </w:rPr>
        <w:t xml:space="preserve"> юридического факультета ПГНИУ под руководством доктора социологических наук, профессора З.П. Замараевой. </w:t>
      </w:r>
    </w:p>
    <w:p w:rsidR="00E05EFB" w:rsidRDefault="00E05EFB">
      <w:pPr>
        <w:spacing w:after="0" w:line="360" w:lineRule="auto"/>
        <w:ind w:firstLine="567"/>
        <w:jc w:val="both"/>
        <w:rPr>
          <w:rFonts w:ascii="Times New Roman" w:hAnsi="Times New Roman"/>
          <w:sz w:val="24"/>
        </w:rPr>
      </w:pPr>
      <w:proofErr w:type="gramStart"/>
      <w:r>
        <w:rPr>
          <w:rFonts w:ascii="Times New Roman" w:hAnsi="Times New Roman"/>
          <w:sz w:val="24"/>
        </w:rPr>
        <w:t xml:space="preserve">Необходимость проведения независимой оценки качества услуг, предоставляемых учреждениями социального обслуживания Пермского края обусловлена нормами Указа Президента Российской Федерации от 7 мая </w:t>
      </w:r>
      <w:smartTag w:uri="urn:schemas-microsoft-com:office:smarttags" w:element="metricconverter">
        <w:smartTagPr>
          <w:attr w:name="ProductID" w:val="2012 г"/>
        </w:smartTagPr>
        <w:r>
          <w:rPr>
            <w:rFonts w:ascii="Times New Roman" w:hAnsi="Times New Roman"/>
            <w:sz w:val="24"/>
          </w:rPr>
          <w:t>2012 г</w:t>
        </w:r>
      </w:smartTag>
      <w:r>
        <w:rPr>
          <w:rFonts w:ascii="Times New Roman" w:hAnsi="Times New Roman"/>
          <w:sz w:val="24"/>
        </w:rPr>
        <w:t>. № 597 «О мероприятиях по реализации государственной социальной политики», в котором Правительству Российской Федерации было дано поручение разработать систему оценки качества предоставляемых социальных услуг.</w:t>
      </w:r>
      <w:proofErr w:type="gramEnd"/>
      <w:r>
        <w:rPr>
          <w:rFonts w:ascii="Times New Roman" w:hAnsi="Times New Roman"/>
          <w:sz w:val="24"/>
        </w:rPr>
        <w:t xml:space="preserve"> Необходимость проведения независимой оценки качества оказываемых социальных услуг как формы общественного контроля  предусмотрена и Федеральным законом «Об основах социального обслуживания граждан Российской Федерации»   №442 от 25.12.2013 г.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связи с этим экспертной группой была поставлена цель – провести комплексное обследование учреждений стационарного социального обслуживания Пермского края,   предложить рекомендации по совершенствованию деятельности в сфере оказания социальных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В процессе проведения независимой оценки экспертами ставились задачи: </w:t>
      </w:r>
    </w:p>
    <w:p w:rsidR="00E05EFB" w:rsidRDefault="00E05EFB">
      <w:pPr>
        <w:numPr>
          <w:ilvl w:val="0"/>
          <w:numId w:val="2"/>
        </w:numPr>
        <w:spacing w:after="0" w:line="360" w:lineRule="auto"/>
        <w:ind w:firstLine="284"/>
        <w:jc w:val="both"/>
        <w:rPr>
          <w:rFonts w:ascii="Times New Roman" w:hAnsi="Times New Roman"/>
          <w:sz w:val="24"/>
        </w:rPr>
      </w:pPr>
      <w:r>
        <w:rPr>
          <w:rFonts w:ascii="Times New Roman" w:hAnsi="Times New Roman"/>
          <w:sz w:val="24"/>
        </w:rPr>
        <w:t>проведение оценки информационной открытости и доступности учреждений стационарного социального обслуживания;</w:t>
      </w:r>
    </w:p>
    <w:p w:rsidR="00E05EFB" w:rsidRDefault="00E05EFB">
      <w:pPr>
        <w:numPr>
          <w:ilvl w:val="0"/>
          <w:numId w:val="2"/>
        </w:numPr>
        <w:spacing w:after="0" w:line="360" w:lineRule="auto"/>
        <w:ind w:firstLine="284"/>
        <w:jc w:val="both"/>
        <w:rPr>
          <w:rFonts w:ascii="Times New Roman" w:hAnsi="Times New Roman"/>
          <w:sz w:val="24"/>
        </w:rPr>
      </w:pPr>
      <w:r>
        <w:rPr>
          <w:rFonts w:ascii="Times New Roman" w:hAnsi="Times New Roman"/>
          <w:sz w:val="24"/>
        </w:rPr>
        <w:t xml:space="preserve">проведение оценки благоустроенности учреждений, комфортности помещений и их </w:t>
      </w:r>
      <w:proofErr w:type="spellStart"/>
      <w:r>
        <w:rPr>
          <w:rFonts w:ascii="Times New Roman" w:hAnsi="Times New Roman"/>
          <w:sz w:val="24"/>
        </w:rPr>
        <w:t>адаптированности</w:t>
      </w:r>
      <w:proofErr w:type="spellEnd"/>
      <w:r>
        <w:rPr>
          <w:rFonts w:ascii="Times New Roman" w:hAnsi="Times New Roman"/>
          <w:sz w:val="24"/>
        </w:rPr>
        <w:t xml:space="preserve"> для представителей маломобильных групп населения;</w:t>
      </w:r>
    </w:p>
    <w:p w:rsidR="00E05EFB" w:rsidRDefault="00E05EFB">
      <w:pPr>
        <w:numPr>
          <w:ilvl w:val="0"/>
          <w:numId w:val="2"/>
        </w:numPr>
        <w:spacing w:after="0" w:line="360" w:lineRule="auto"/>
        <w:ind w:firstLine="284"/>
        <w:jc w:val="both"/>
        <w:rPr>
          <w:rFonts w:ascii="Times New Roman" w:hAnsi="Times New Roman"/>
          <w:b/>
          <w:sz w:val="24"/>
        </w:rPr>
      </w:pPr>
      <w:r>
        <w:rPr>
          <w:rFonts w:ascii="Times New Roman" w:hAnsi="Times New Roman"/>
          <w:sz w:val="24"/>
        </w:rPr>
        <w:t>проведение оценки кадрового потенциала учреждений, квалификации и компетентности кадров.</w:t>
      </w:r>
      <w:r>
        <w:rPr>
          <w:rFonts w:ascii="Times New Roman" w:hAnsi="Times New Roman"/>
          <w:b/>
          <w:sz w:val="24"/>
        </w:rPr>
        <w:t xml:space="preserve">            </w:t>
      </w:r>
    </w:p>
    <w:p w:rsidR="00E05EFB" w:rsidRDefault="00E05EFB" w:rsidP="001E6F1F">
      <w:pPr>
        <w:spacing w:after="0" w:line="360" w:lineRule="auto"/>
        <w:jc w:val="both"/>
        <w:rPr>
          <w:rFonts w:ascii="Times New Roman" w:hAnsi="Times New Roman"/>
          <w:b/>
          <w:sz w:val="24"/>
        </w:rPr>
      </w:pPr>
    </w:p>
    <w:p w:rsidR="00E05EFB" w:rsidRDefault="00E05EFB">
      <w:pPr>
        <w:rPr>
          <w:rFonts w:ascii="Times New Roman" w:hAnsi="Times New Roman"/>
          <w:b/>
          <w:sz w:val="24"/>
        </w:rPr>
      </w:pPr>
    </w:p>
    <w:p w:rsidR="00E05EFB" w:rsidRDefault="00E05EFB">
      <w:pPr>
        <w:rPr>
          <w:rFonts w:ascii="Times New Roman" w:hAnsi="Times New Roman"/>
          <w:b/>
          <w:sz w:val="24"/>
        </w:rPr>
      </w:pPr>
      <w:r>
        <w:rPr>
          <w:rFonts w:ascii="Times New Roman" w:hAnsi="Times New Roman"/>
          <w:b/>
          <w:sz w:val="24"/>
        </w:rPr>
        <w:br w:type="page"/>
      </w:r>
    </w:p>
    <w:p w:rsidR="00E05EFB" w:rsidRDefault="00E05EFB">
      <w:pPr>
        <w:spacing w:after="0" w:line="360" w:lineRule="auto"/>
        <w:ind w:left="207"/>
        <w:jc w:val="both"/>
        <w:rPr>
          <w:rFonts w:ascii="Times New Roman" w:hAnsi="Times New Roman"/>
          <w:b/>
          <w:sz w:val="24"/>
        </w:rPr>
      </w:pPr>
    </w:p>
    <w:p w:rsidR="00E05EFB" w:rsidRDefault="00E05EFB">
      <w:pPr>
        <w:spacing w:after="0" w:line="360" w:lineRule="auto"/>
        <w:ind w:firstLine="568"/>
        <w:jc w:val="center"/>
        <w:rPr>
          <w:rFonts w:ascii="Times New Roman" w:hAnsi="Times New Roman"/>
          <w:b/>
          <w:sz w:val="24"/>
        </w:rPr>
      </w:pPr>
      <w:r>
        <w:rPr>
          <w:rFonts w:ascii="Times New Roman" w:hAnsi="Times New Roman"/>
          <w:b/>
          <w:sz w:val="24"/>
        </w:rPr>
        <w:t>1.</w:t>
      </w:r>
      <w:r>
        <w:rPr>
          <w:rFonts w:ascii="Times New Roman" w:hAnsi="Times New Roman"/>
          <w:sz w:val="24"/>
        </w:rPr>
        <w:t xml:space="preserve"> </w:t>
      </w:r>
      <w:r>
        <w:rPr>
          <w:rFonts w:ascii="Times New Roman" w:hAnsi="Times New Roman"/>
          <w:b/>
          <w:sz w:val="24"/>
        </w:rPr>
        <w:t>Методика проведения независимой оценки. Критерии оценки</w:t>
      </w:r>
    </w:p>
    <w:p w:rsidR="00E05EFB" w:rsidRDefault="00E05EFB">
      <w:pPr>
        <w:spacing w:after="0" w:line="360" w:lineRule="auto"/>
        <w:ind w:firstLine="567"/>
        <w:jc w:val="both"/>
        <w:rPr>
          <w:rFonts w:ascii="Times New Roman" w:hAnsi="Times New Roman"/>
          <w:b/>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Независимая оценка качества социальных услуг проводилась по следующим направлениям:</w:t>
      </w:r>
    </w:p>
    <w:tbl>
      <w:tblPr>
        <w:tblW w:w="0" w:type="auto"/>
        <w:tblInd w:w="98" w:type="dxa"/>
        <w:tblCellMar>
          <w:left w:w="10" w:type="dxa"/>
          <w:right w:w="10" w:type="dxa"/>
        </w:tblCellMar>
        <w:tblLook w:val="00A0" w:firstRow="1" w:lastRow="0" w:firstColumn="1" w:lastColumn="0" w:noHBand="0" w:noVBand="0"/>
      </w:tblPr>
      <w:tblGrid>
        <w:gridCol w:w="2299"/>
        <w:gridCol w:w="3096"/>
        <w:gridCol w:w="2550"/>
        <w:gridCol w:w="1528"/>
      </w:tblGrid>
      <w:tr w:rsidR="00E05EFB" w:rsidRPr="00E43C36" w:rsidTr="001E6F1F">
        <w:trPr>
          <w:trHeight w:val="1"/>
        </w:trPr>
        <w:tc>
          <w:tcPr>
            <w:tcW w:w="2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center"/>
            </w:pPr>
            <w:r>
              <w:rPr>
                <w:rFonts w:ascii="Times New Roman" w:hAnsi="Times New Roman"/>
                <w:b/>
                <w:sz w:val="20"/>
              </w:rPr>
              <w:t xml:space="preserve">Направление </w:t>
            </w: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center"/>
            </w:pPr>
            <w:r>
              <w:rPr>
                <w:rFonts w:ascii="Times New Roman" w:hAnsi="Times New Roman"/>
                <w:b/>
                <w:sz w:val="20"/>
              </w:rPr>
              <w:t>Методы</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center"/>
            </w:pPr>
            <w:r>
              <w:rPr>
                <w:rFonts w:ascii="Times New Roman" w:hAnsi="Times New Roman"/>
                <w:b/>
                <w:sz w:val="20"/>
              </w:rPr>
              <w:t>Объем выборки</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center"/>
            </w:pPr>
            <w:r>
              <w:rPr>
                <w:rFonts w:ascii="Times New Roman" w:hAnsi="Times New Roman"/>
                <w:b/>
                <w:sz w:val="20"/>
              </w:rPr>
              <w:t>Сроки проведения</w:t>
            </w:r>
          </w:p>
        </w:tc>
      </w:tr>
      <w:tr w:rsidR="00E05EFB" w:rsidRPr="00E43C36" w:rsidTr="001E6F1F">
        <w:trPr>
          <w:trHeight w:val="1"/>
        </w:trPr>
        <w:tc>
          <w:tcPr>
            <w:tcW w:w="22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ind w:firstLine="284"/>
              <w:jc w:val="both"/>
            </w:pPr>
            <w:r>
              <w:rPr>
                <w:rFonts w:ascii="Times New Roman" w:hAnsi="Times New Roman"/>
                <w:sz w:val="20"/>
              </w:rPr>
              <w:t>Оценка открытости и доступности информации об организации социального обслуживания</w:t>
            </w: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1.Аудит сайтов учреждений </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spacing w:after="0" w:line="240" w:lineRule="auto"/>
              <w:jc w:val="both"/>
              <w:rPr>
                <w:rFonts w:cs="Calibri"/>
              </w:rPr>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spacing w:after="0" w:line="240" w:lineRule="auto"/>
              <w:jc w:val="both"/>
              <w:rPr>
                <w:rFonts w:cs="Calibri"/>
              </w:rPr>
            </w:pP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2. Наблюдение – внешняя оценка учреждений </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47 учреждений стационарного социального обслуживания населения Пермского края: анализ информационных стендов учреждений</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3.Анализ документов – информационных брошюр и буклетов</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10 информационных буклетов учреждений, 1 листовка и 1 брошюра</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4.Анализ документов – книг жалоб и предложений, имеющихся в учреждении</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spacing w:after="0" w:line="240" w:lineRule="auto"/>
              <w:jc w:val="both"/>
              <w:rPr>
                <w:rFonts w:cs="Calibri"/>
              </w:rPr>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ind w:firstLine="284"/>
              <w:jc w:val="both"/>
            </w:pPr>
            <w:r>
              <w:rPr>
                <w:rFonts w:ascii="Times New Roman" w:hAnsi="Times New Roman"/>
                <w:sz w:val="20"/>
              </w:rPr>
              <w:t>Оценка комфортности условий предоставления социальных услуг и доступность их получения</w:t>
            </w: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numPr>
                <w:ilvl w:val="0"/>
                <w:numId w:val="3"/>
              </w:numPr>
              <w:spacing w:after="0" w:line="240" w:lineRule="auto"/>
              <w:ind w:firstLine="360"/>
              <w:jc w:val="both"/>
            </w:pPr>
            <w:r>
              <w:rPr>
                <w:rFonts w:ascii="Times New Roman" w:hAnsi="Times New Roman"/>
                <w:sz w:val="20"/>
              </w:rPr>
              <w:t xml:space="preserve">Наблюдение – внешняя оценка учреждений </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47 учреждений стационарного социального обслуживания населения Пермского края</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numPr>
                <w:ilvl w:val="0"/>
                <w:numId w:val="4"/>
              </w:numPr>
              <w:spacing w:after="0" w:line="240" w:lineRule="auto"/>
              <w:ind w:firstLine="360"/>
              <w:jc w:val="both"/>
            </w:pPr>
            <w:r>
              <w:rPr>
                <w:rFonts w:ascii="Times New Roman" w:hAnsi="Times New Roman"/>
                <w:sz w:val="20"/>
              </w:rPr>
              <w:t>Анкетирование – опрос клиентов учреждений стационарного социального обслуживания населения Пермского края</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440 клиентов, проживающих в учреждениях стационарного социального обслуживания населения Пермского края (не менее 10% от общего числа проживающих, 13-15 человек для учреждений численностью выше 150 проживающих).</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numPr>
                <w:ilvl w:val="0"/>
                <w:numId w:val="5"/>
              </w:numPr>
              <w:spacing w:after="0" w:line="240" w:lineRule="auto"/>
              <w:ind w:firstLine="360"/>
              <w:jc w:val="both"/>
            </w:pPr>
            <w:r>
              <w:rPr>
                <w:rFonts w:ascii="Times New Roman" w:hAnsi="Times New Roman"/>
                <w:sz w:val="20"/>
              </w:rPr>
              <w:t>Анализ документов – государственных стандартов оказания социальных услуг</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spacing w:after="0" w:line="240" w:lineRule="auto"/>
              <w:jc w:val="both"/>
              <w:rPr>
                <w:rFonts w:ascii="Times New Roman" w:hAnsi="Times New Roman"/>
                <w:sz w:val="20"/>
              </w:rPr>
            </w:pPr>
            <w:r>
              <w:rPr>
                <w:rFonts w:ascii="Times New Roman" w:hAnsi="Times New Roman"/>
                <w:sz w:val="20"/>
              </w:rPr>
              <w:t>Проанализированы 13 нормативно-правовых актов</w:t>
            </w:r>
          </w:p>
          <w:p w:rsidR="00E05EFB" w:rsidRPr="00E43C36" w:rsidRDefault="00E05EFB">
            <w:pPr>
              <w:spacing w:after="0" w:line="240" w:lineRule="auto"/>
              <w:jc w:val="both"/>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Июль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ind w:firstLine="284"/>
              <w:jc w:val="both"/>
            </w:pPr>
            <w:r>
              <w:rPr>
                <w:rFonts w:ascii="Times New Roman" w:hAnsi="Times New Roman"/>
                <w:sz w:val="20"/>
              </w:rPr>
              <w:t>Оценка доброжелательности, вежливости, компетентности работников организаций социального обслуживания</w:t>
            </w: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1.Анкетирование – опрос клиентов учреждений стационарного социального обслуживания населения Пермского края</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440 клиентов, проживающих в учреждениях стационарного социального обслуживания населения Пермского края (не менее 10% от общего числа проживающих, 13-15 человек для учреждений численностью выше 150 проживающих).</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2.Анализ документов - справок о кадровой обеспеченности учреждений социального обслуживания</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Справки 9 учреждений социального обслуживания Пермского края</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Default="00E05EFB">
            <w:pPr>
              <w:rPr>
                <w:rFonts w:cs="Calibri"/>
              </w:rPr>
            </w:pP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3.Опрос руководителей учреждений и филиалов о кадровой обеспеченности и кадровой политике</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Беседы с руководителями 9 учреждений и 47 филиалов учреждений</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r w:rsidR="00E05EFB" w:rsidRPr="00E43C36" w:rsidTr="001E6F1F">
        <w:trPr>
          <w:trHeight w:val="1"/>
        </w:trPr>
        <w:tc>
          <w:tcPr>
            <w:tcW w:w="2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ind w:firstLine="284"/>
              <w:jc w:val="both"/>
            </w:pPr>
            <w:r>
              <w:rPr>
                <w:rFonts w:ascii="Times New Roman" w:hAnsi="Times New Roman"/>
                <w:sz w:val="20"/>
              </w:rPr>
              <w:t>Оценка удовлетворенности качеством оказания услуг</w:t>
            </w:r>
          </w:p>
        </w:tc>
        <w:tc>
          <w:tcPr>
            <w:tcW w:w="3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1.Анкетирование – опрос клиентов учреждений стационарного социального обслуживания населения Пермского края</w:t>
            </w:r>
          </w:p>
        </w:tc>
        <w:tc>
          <w:tcPr>
            <w:tcW w:w="2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440 клиентов, проживающих в учреждениях стационарного социального обслуживания населения Пермского края (не менее 10% от общего числа проживающих, 13-15 человек для учреждений численностью выше 150 проживающих).</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5EFB" w:rsidRPr="00E43C36" w:rsidRDefault="00E05EFB">
            <w:pPr>
              <w:spacing w:after="0" w:line="240" w:lineRule="auto"/>
              <w:jc w:val="both"/>
            </w:pPr>
            <w:r>
              <w:rPr>
                <w:rFonts w:ascii="Times New Roman" w:hAnsi="Times New Roman"/>
                <w:sz w:val="20"/>
              </w:rPr>
              <w:t xml:space="preserve">Июнь-ноябрь </w:t>
            </w:r>
            <w:smartTag w:uri="urn:schemas-microsoft-com:office:smarttags" w:element="metricconverter">
              <w:smartTagPr>
                <w:attr w:name="ProductID" w:val="2015 г"/>
              </w:smartTagPr>
              <w:r>
                <w:rPr>
                  <w:rFonts w:ascii="Times New Roman" w:hAnsi="Times New Roman"/>
                  <w:sz w:val="20"/>
                </w:rPr>
                <w:t>2015 г</w:t>
              </w:r>
            </w:smartTag>
            <w:r>
              <w:rPr>
                <w:rFonts w:ascii="Times New Roman" w:hAnsi="Times New Roman"/>
                <w:sz w:val="20"/>
              </w:rPr>
              <w:t>.</w:t>
            </w:r>
          </w:p>
        </w:tc>
      </w:tr>
    </w:tbl>
    <w:p w:rsidR="00E05EFB" w:rsidRDefault="00E05EFB">
      <w:pPr>
        <w:spacing w:after="0" w:line="360" w:lineRule="auto"/>
        <w:jc w:val="center"/>
        <w:rPr>
          <w:rFonts w:ascii="Times New Roman" w:hAnsi="Times New Roman"/>
          <w:b/>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По итогам проведения независимой оценки были составлены следующие </w:t>
      </w:r>
      <w:r>
        <w:rPr>
          <w:rFonts w:ascii="Times New Roman" w:hAnsi="Times New Roman"/>
          <w:b/>
          <w:sz w:val="24"/>
        </w:rPr>
        <w:t>рейтинги</w:t>
      </w:r>
      <w:r>
        <w:rPr>
          <w:rFonts w:ascii="Times New Roman" w:hAnsi="Times New Roman"/>
          <w:sz w:val="24"/>
        </w:rPr>
        <w:t xml:space="preserve"> (см. Приложение):</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Рейтинг информационной открытости учреждений</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Рейтинг комфортности учреждений</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Рейтинг доброжелательности, вежливости и компетентности сотрудников учреждения</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Рейтинг удовлетворенности клиентов качеством оказания услуг в учреждении</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Итоговый рейтинг (суммарный по всем показателям)</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Суммарный рейтинг учреждений по всем показателям среди ПНИ</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Суммарный рейтинг учреждений по всем показателям среди ДИПИ</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Суммарные рейтинги учреждений по всем показателям внутри «объединений» учреждений среди филиалов</w:t>
      </w:r>
    </w:p>
    <w:p w:rsidR="00E05EFB" w:rsidRDefault="00E05EFB">
      <w:pPr>
        <w:numPr>
          <w:ilvl w:val="0"/>
          <w:numId w:val="6"/>
        </w:numPr>
        <w:spacing w:after="0" w:line="360" w:lineRule="auto"/>
        <w:ind w:left="927" w:hanging="360"/>
        <w:jc w:val="both"/>
        <w:rPr>
          <w:rFonts w:ascii="Times New Roman" w:hAnsi="Times New Roman"/>
          <w:sz w:val="24"/>
        </w:rPr>
      </w:pPr>
      <w:r>
        <w:rPr>
          <w:rFonts w:ascii="Times New Roman" w:hAnsi="Times New Roman"/>
          <w:sz w:val="24"/>
        </w:rPr>
        <w:t xml:space="preserve">Суммарный рейтинг учреждений по всем показателям по учреждениям </w:t>
      </w:r>
      <w:proofErr w:type="spellStart"/>
      <w:r>
        <w:rPr>
          <w:rFonts w:ascii="Times New Roman" w:hAnsi="Times New Roman"/>
          <w:sz w:val="24"/>
        </w:rPr>
        <w:t>объединенно</w:t>
      </w:r>
      <w:proofErr w:type="spellEnd"/>
      <w:r>
        <w:rPr>
          <w:rFonts w:ascii="Times New Roman" w:hAnsi="Times New Roman"/>
          <w:sz w:val="24"/>
        </w:rPr>
        <w:t xml:space="preserve"> по «кустам»</w:t>
      </w:r>
    </w:p>
    <w:p w:rsidR="00E05EFB" w:rsidRDefault="00E05EFB">
      <w:pPr>
        <w:spacing w:after="0" w:line="360" w:lineRule="auto"/>
        <w:ind w:left="927"/>
        <w:jc w:val="both"/>
        <w:rPr>
          <w:rFonts w:ascii="Times New Roman" w:hAnsi="Times New Roman"/>
          <w:sz w:val="24"/>
        </w:rPr>
      </w:pPr>
    </w:p>
    <w:p w:rsidR="00E05EFB" w:rsidRDefault="00E05EFB">
      <w:pPr>
        <w:spacing w:after="0" w:line="360" w:lineRule="auto"/>
        <w:jc w:val="center"/>
        <w:rPr>
          <w:rFonts w:ascii="Times New Roman" w:hAnsi="Times New Roman"/>
          <w:b/>
          <w:sz w:val="24"/>
        </w:rPr>
      </w:pPr>
    </w:p>
    <w:p w:rsidR="00E05EFB" w:rsidRDefault="00E05EFB">
      <w:pPr>
        <w:rPr>
          <w:rFonts w:ascii="Times New Roman" w:hAnsi="Times New Roman"/>
          <w:b/>
          <w:sz w:val="24"/>
        </w:rPr>
      </w:pPr>
      <w:r>
        <w:rPr>
          <w:rFonts w:ascii="Times New Roman" w:hAnsi="Times New Roman"/>
          <w:b/>
          <w:sz w:val="24"/>
        </w:rPr>
        <w:br w:type="page"/>
      </w: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p>
    <w:p w:rsidR="00E05EFB" w:rsidRDefault="00E05EFB">
      <w:pPr>
        <w:spacing w:after="0" w:line="360" w:lineRule="auto"/>
        <w:jc w:val="center"/>
        <w:rPr>
          <w:rFonts w:ascii="Times New Roman" w:hAnsi="Times New Roman"/>
          <w:b/>
          <w:sz w:val="24"/>
        </w:rPr>
      </w:pPr>
      <w:r>
        <w:rPr>
          <w:rFonts w:ascii="Times New Roman" w:hAnsi="Times New Roman"/>
          <w:b/>
          <w:sz w:val="24"/>
        </w:rPr>
        <w:t>2. Оценка открытости и доступности информации об организации социального обслуживания</w:t>
      </w:r>
    </w:p>
    <w:p w:rsidR="00E05EFB" w:rsidRDefault="00E05EFB">
      <w:pPr>
        <w:spacing w:after="0" w:line="360" w:lineRule="auto"/>
        <w:ind w:firstLine="567"/>
        <w:jc w:val="both"/>
        <w:rPr>
          <w:rFonts w:ascii="Times New Roman" w:hAnsi="Times New Roman"/>
          <w:b/>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2.1. Показатель для анализа: полнота и актуальность информации об организации социального обслуживания, размещаемой на общедоступных информационных ресурсах (на информационных стендах в помещении организации, на официальных сайтах организации социального обслуживания, органов исполнительной власти в информационно-телекоммуникационной сети "Интернет" (далее - сеть "Интернет")</w:t>
      </w:r>
    </w:p>
    <w:p w:rsidR="00E05EFB" w:rsidRDefault="00E05EFB">
      <w:pPr>
        <w:spacing w:after="0" w:line="360" w:lineRule="auto"/>
        <w:ind w:firstLine="567"/>
        <w:jc w:val="both"/>
        <w:rPr>
          <w:rFonts w:ascii="Times New Roman" w:hAnsi="Times New Roman"/>
          <w:b/>
          <w:i/>
          <w:sz w:val="32"/>
        </w:rPr>
      </w:pPr>
      <w:r>
        <w:rPr>
          <w:rFonts w:ascii="Times New Roman" w:hAnsi="Times New Roman"/>
          <w:i/>
          <w:sz w:val="24"/>
        </w:rPr>
        <w:t>а) оценка "открытости и прозрачности государственных и муниципальных учреждений" - показатель рейтинга на официальном сайте для размещения информации о государственных и муниципальных учреждениях (www.bus.gov.ru) в сети "Интернет"</w:t>
      </w:r>
    </w:p>
    <w:p w:rsidR="00E05EFB" w:rsidRDefault="00E05EFB">
      <w:pPr>
        <w:spacing w:after="0" w:line="360" w:lineRule="auto"/>
        <w:ind w:firstLine="709"/>
        <w:jc w:val="both"/>
        <w:rPr>
          <w:rFonts w:ascii="Times New Roman" w:hAnsi="Times New Roman"/>
          <w:sz w:val="24"/>
          <w:shd w:val="clear" w:color="auto" w:fill="FFFFFF"/>
        </w:rPr>
      </w:pPr>
      <w:r>
        <w:rPr>
          <w:rFonts w:ascii="Times New Roman" w:hAnsi="Times New Roman"/>
          <w:sz w:val="24"/>
          <w:shd w:val="clear" w:color="auto" w:fill="FFFFFF"/>
        </w:rPr>
        <w:t xml:space="preserve">По показателю 1.1. группы "Открытость и прозрачность государственных и муниципальных учреждений" - показателю рейтинга на официальном сайте для размещения информации о государственных и муниципальных учреждениях (www.bus.gov.ru) в сети "Интернет" - учреждения могли получить от 0 до 1 балла. В этой базе данных о каждом учреждении должны быть заполнены 4 раздела: «Контактная информация», «Услуги и работы», «Показатель деятельности» и «Отзывы о работе». По результатам проверки в целом ситуация обстоит неплохо. На сайте </w:t>
      </w:r>
      <w:hyperlink r:id="rId8">
        <w:r>
          <w:rPr>
            <w:rFonts w:ascii="Times New Roman" w:hAnsi="Times New Roman"/>
            <w:color w:val="0000FF"/>
            <w:sz w:val="24"/>
            <w:u w:val="single"/>
            <w:shd w:val="clear" w:color="auto" w:fill="FFFFFF"/>
          </w:rPr>
          <w:t>www.bus.gov.ru</w:t>
        </w:r>
      </w:hyperlink>
      <w:r>
        <w:rPr>
          <w:rFonts w:ascii="Times New Roman" w:hAnsi="Times New Roman"/>
          <w:sz w:val="24"/>
          <w:shd w:val="clear" w:color="auto" w:fill="FFFFFF"/>
        </w:rPr>
        <w:t xml:space="preserve"> представлена информация практически обо всех учреждениях, участвовавших в аудите (42 из 48), кроме Казанского отделения КГАСУСОН «Дубровский ПНИ», </w:t>
      </w:r>
      <w:proofErr w:type="spellStart"/>
      <w:r>
        <w:rPr>
          <w:rFonts w:ascii="Times New Roman" w:hAnsi="Times New Roman"/>
          <w:sz w:val="24"/>
          <w:shd w:val="clear" w:color="auto" w:fill="FFFFFF"/>
        </w:rPr>
        <w:t>Голубевского</w:t>
      </w:r>
      <w:proofErr w:type="spellEnd"/>
      <w:r>
        <w:rPr>
          <w:rFonts w:ascii="Times New Roman" w:hAnsi="Times New Roman"/>
          <w:sz w:val="24"/>
          <w:shd w:val="clear" w:color="auto" w:fill="FFFFFF"/>
        </w:rPr>
        <w:t xml:space="preserve"> отделения КГАСУСОН «Дубровский ПНИ», Вознесенского отделения КГАСУСОН «Дубровский ПНИ», Садового отделения «Дубровский ПНИ», </w:t>
      </w:r>
      <w:proofErr w:type="spellStart"/>
      <w:r>
        <w:rPr>
          <w:rFonts w:ascii="Times New Roman" w:hAnsi="Times New Roman"/>
          <w:sz w:val="24"/>
          <w:shd w:val="clear" w:color="auto" w:fill="FFFFFF"/>
        </w:rPr>
        <w:t>Тулумбаихинского</w:t>
      </w:r>
      <w:proofErr w:type="spellEnd"/>
      <w:r>
        <w:rPr>
          <w:rFonts w:ascii="Times New Roman" w:hAnsi="Times New Roman"/>
          <w:sz w:val="24"/>
          <w:shd w:val="clear" w:color="auto" w:fill="FFFFFF"/>
        </w:rPr>
        <w:t xml:space="preserve"> отделения КГАСУСОН «Дубровский ПНИ», </w:t>
      </w:r>
      <w:proofErr w:type="spellStart"/>
      <w:r>
        <w:rPr>
          <w:rFonts w:ascii="Times New Roman" w:hAnsi="Times New Roman"/>
          <w:sz w:val="24"/>
          <w:shd w:val="clear" w:color="auto" w:fill="FFFFFF"/>
        </w:rPr>
        <w:t>Пелымского</w:t>
      </w:r>
      <w:proofErr w:type="spellEnd"/>
      <w:r>
        <w:rPr>
          <w:rFonts w:ascii="Times New Roman" w:hAnsi="Times New Roman"/>
          <w:sz w:val="24"/>
          <w:shd w:val="clear" w:color="auto" w:fill="FFFFFF"/>
        </w:rPr>
        <w:t xml:space="preserve"> филиала КГАСУСОН «</w:t>
      </w:r>
      <w:proofErr w:type="spellStart"/>
      <w:r>
        <w:rPr>
          <w:rFonts w:ascii="Times New Roman" w:hAnsi="Times New Roman"/>
          <w:sz w:val="24"/>
          <w:shd w:val="clear" w:color="auto" w:fill="FFFFFF"/>
        </w:rPr>
        <w:t>Кудымкарский</w:t>
      </w:r>
      <w:proofErr w:type="spellEnd"/>
      <w:r>
        <w:rPr>
          <w:rFonts w:ascii="Times New Roman" w:hAnsi="Times New Roman"/>
          <w:sz w:val="24"/>
          <w:shd w:val="clear" w:color="auto" w:fill="FFFFFF"/>
        </w:rPr>
        <w:t xml:space="preserve"> дом-интернат для престарелых и инвалидов». Сразу отметим, что ни у одного из учреждений на сегодняшний день не заполнен раздел «Отзывы о работе». Однако у всех головных учреждений заполнены 3 остальные раздела: «Контактная информация», «Услуги и работы» и «Показатели деятельности». Информация о филиалах же находится только в приложенных файлах с Положениями об учреждениях, доступных для скачивания на страницах головных учреждений. В текстах этих документов имеется информация, удовлетворяющая  двум разделам: «Услуги и работы» и «Показатели деятельности». Контактная же информация представлена только почтовыми адресами учреждений, чего явно недостаточно. К тому же добавим, что граждане должны </w:t>
      </w:r>
      <w:r>
        <w:rPr>
          <w:rFonts w:ascii="Times New Roman" w:hAnsi="Times New Roman"/>
          <w:sz w:val="24"/>
          <w:shd w:val="clear" w:color="auto" w:fill="FFFFFF"/>
        </w:rPr>
        <w:lastRenderedPageBreak/>
        <w:t xml:space="preserve">догадаться зайти на страницу головного учреждения и скачать файлы с Положениями о филиалах, чтобы получить доступ к имеющимся сведениям. По нашим оценкам, это маловероятно. </w:t>
      </w:r>
    </w:p>
    <w:p w:rsidR="00E05EFB" w:rsidRDefault="00E05EFB">
      <w:pPr>
        <w:spacing w:after="0" w:line="360" w:lineRule="auto"/>
        <w:ind w:firstLine="709"/>
        <w:jc w:val="both"/>
        <w:rPr>
          <w:rFonts w:ascii="Times New Roman" w:hAnsi="Times New Roman"/>
          <w:sz w:val="24"/>
          <w:shd w:val="clear" w:color="auto" w:fill="FFFFFF"/>
        </w:rPr>
      </w:pPr>
      <w:r>
        <w:rPr>
          <w:rFonts w:ascii="Times New Roman" w:hAnsi="Times New Roman"/>
          <w:sz w:val="24"/>
          <w:shd w:val="clear" w:color="auto" w:fill="FFFFFF"/>
        </w:rPr>
        <w:t>В целом, по показателю 1.1 все головные учреждения получили по 1 баллу, все филиалы – по 0,6 балла, кроме шести выше перечисленных филиалов, информация о которых не размещена, соответственно они оценены на 0 баллов.</w:t>
      </w:r>
    </w:p>
    <w:p w:rsidR="00E05EFB" w:rsidRDefault="00E05EFB">
      <w:pPr>
        <w:spacing w:after="0" w:line="360" w:lineRule="auto"/>
        <w:ind w:firstLine="709"/>
        <w:jc w:val="both"/>
        <w:rPr>
          <w:rFonts w:ascii="Times New Roman" w:hAnsi="Times New Roman"/>
          <w:i/>
          <w:sz w:val="24"/>
          <w:shd w:val="clear" w:color="auto" w:fill="FFFFFF"/>
        </w:rPr>
      </w:pPr>
    </w:p>
    <w:p w:rsidR="00E05EFB" w:rsidRDefault="00E05EFB">
      <w:pPr>
        <w:spacing w:after="0" w:line="360" w:lineRule="auto"/>
        <w:ind w:firstLine="709"/>
        <w:jc w:val="both"/>
        <w:rPr>
          <w:rFonts w:ascii="Times New Roman" w:hAnsi="Times New Roman"/>
          <w:i/>
          <w:sz w:val="24"/>
          <w:shd w:val="clear" w:color="auto" w:fill="FFFFFF"/>
        </w:rPr>
      </w:pPr>
      <w:r>
        <w:rPr>
          <w:rFonts w:ascii="Times New Roman" w:hAnsi="Times New Roman"/>
          <w:i/>
          <w:sz w:val="24"/>
          <w:shd w:val="clear" w:color="auto" w:fill="FFFFFF"/>
        </w:rPr>
        <w:t xml:space="preserve">б) оценка соответствия информации о деятельности организации социального обслуживания, размещенной на официальном сайте организации социального обслуживания в сети "Интернет", порядку размещения информации на официальном сайте поставщика социальных услуг в сети "Интернет", утверждаемому уполномоченным федеральным органом исполнительной власти согласно </w:t>
      </w:r>
      <w:hyperlink r:id="rId9">
        <w:r>
          <w:rPr>
            <w:rFonts w:ascii="Times New Roman" w:hAnsi="Times New Roman"/>
            <w:i/>
            <w:color w:val="0000FF"/>
            <w:sz w:val="24"/>
            <w:u w:val="single"/>
            <w:shd w:val="clear" w:color="auto" w:fill="FFFFFF"/>
          </w:rPr>
          <w:t>части 3 статьи 13</w:t>
        </w:r>
      </w:hyperlink>
      <w:r>
        <w:rPr>
          <w:rFonts w:ascii="Times New Roman" w:hAnsi="Times New Roman"/>
          <w:i/>
          <w:sz w:val="24"/>
          <w:shd w:val="clear" w:color="auto" w:fill="FFFFFF"/>
        </w:rPr>
        <w:t xml:space="preserve"> Федерального закона от 28 декабря 2013 г. N 442-ФЗ "Об основах социального обслуживания граждан в Российской Федерации"</w:t>
      </w:r>
    </w:p>
    <w:p w:rsidR="00E05EFB" w:rsidRDefault="00E05EFB">
      <w:pPr>
        <w:spacing w:after="0" w:line="360" w:lineRule="auto"/>
        <w:ind w:firstLine="708"/>
        <w:jc w:val="both"/>
        <w:rPr>
          <w:rFonts w:ascii="Times New Roman" w:hAnsi="Times New Roman"/>
          <w:sz w:val="24"/>
          <w:shd w:val="clear" w:color="auto" w:fill="FFFFFF"/>
        </w:rPr>
      </w:pPr>
      <w:r>
        <w:rPr>
          <w:rFonts w:ascii="Times New Roman" w:hAnsi="Times New Roman"/>
          <w:sz w:val="24"/>
          <w:shd w:val="clear" w:color="auto" w:fill="FFFFFF"/>
        </w:rPr>
        <w:t xml:space="preserve">Показатель 1.2 - это соответствие информации о деятельности организации социального обслуживания, размещенной на официальном сайте организации социального обслуживания в сети "Интернет", порядку размещения информации на официальном сайте поставщика социальных услуг в сети "Интернет", утверждаемому уполномоченным федеральным органом исполнительной власти согласно </w:t>
      </w:r>
      <w:hyperlink r:id="rId10">
        <w:r>
          <w:rPr>
            <w:rFonts w:ascii="Times New Roman" w:hAnsi="Times New Roman"/>
            <w:color w:val="0000FF"/>
            <w:sz w:val="24"/>
            <w:u w:val="single"/>
            <w:shd w:val="clear" w:color="auto" w:fill="FFFFFF"/>
          </w:rPr>
          <w:t>части 3 статьи 13</w:t>
        </w:r>
      </w:hyperlink>
      <w:r>
        <w:rPr>
          <w:rFonts w:ascii="Times New Roman" w:hAnsi="Times New Roman"/>
          <w:sz w:val="24"/>
          <w:shd w:val="clear" w:color="auto" w:fill="FFFFFF"/>
        </w:rPr>
        <w:t xml:space="preserve"> Федерального закона от 28 декабря 2013 г. № 442-ФЗ "Об основах социального обслуживания граждан в Российской Федерации"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Речь идет о том, что поставщики социальных услуг должны формировать общедоступные информационные ресурсы, содержащие информацию о деятельности этих поставщиков, и обеспечивать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 Поставщики социальных услуг обязаны обеспечить открытость и доступность следующей информации: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2) о структуре и об органах управления организации социального обслуживания;</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3) о форме социального обслуживания, видах социальных услуг, порядке и об условиях их предоставления, о тарифах на социальные услуги;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lastRenderedPageBreak/>
        <w:t>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9) о наличии лицензий на осуществление деятельности, подлежащей лицензированию в соответствии с </w:t>
      </w:r>
      <w:hyperlink r:id="rId11">
        <w:r>
          <w:rPr>
            <w:rFonts w:ascii="Times New Roman" w:hAnsi="Times New Roman"/>
            <w:color w:val="0000FF"/>
            <w:sz w:val="24"/>
            <w:u w:val="single"/>
            <w:shd w:val="clear" w:color="auto" w:fill="FFFFFF"/>
          </w:rPr>
          <w:t>законодательством</w:t>
        </w:r>
      </w:hyperlink>
      <w:r>
        <w:rPr>
          <w:rFonts w:ascii="Times New Roman" w:hAnsi="Times New Roman"/>
          <w:sz w:val="24"/>
          <w:shd w:val="clear" w:color="auto" w:fill="FFFFFF"/>
        </w:rPr>
        <w:t> Российской Федерации;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10) о финансово-хозяйственной деятельности;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11) о правилах внутреннего распорядка для получателей социальных услуг, правилах внутреннего трудового распорядка, коллективном договоре;</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12.1) о проведении независимой оценки качества оказания услуг организациями социального обслуживания, которая определяется уполномоченным федеральным органом исполнительной власти;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Указанная информация и документы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lastRenderedPageBreak/>
        <w:t>Таким образом, лидерами по показателю 1.2 «Соответствие информации о деятельности организации социального обслуживания, размещенной на официальном сайте организации социального обслуживания в сети "Интернет", порядку размещения информации на официальном сайте поставщика социальных услуг в сети "Интернет", утверждаемому уполномоченным федеральным органом исполнительной власти согласно части 3 статьи 13 Федерального закона от 28 декабря 2013 г. N 442-ФЗ "Об основах социального обслуживания граждан в Российской Федерации"» стали 3 учреждения:</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1. КГАУ «Верхне-</w:t>
      </w:r>
      <w:proofErr w:type="spellStart"/>
      <w:r>
        <w:rPr>
          <w:rFonts w:ascii="Times New Roman" w:hAnsi="Times New Roman"/>
          <w:sz w:val="24"/>
          <w:shd w:val="clear" w:color="auto" w:fill="FFFFFF"/>
        </w:rPr>
        <w:t>Курьинский</w:t>
      </w:r>
      <w:proofErr w:type="spellEnd"/>
      <w:r>
        <w:rPr>
          <w:rFonts w:ascii="Times New Roman" w:hAnsi="Times New Roman"/>
          <w:sz w:val="24"/>
          <w:shd w:val="clear" w:color="auto" w:fill="FFFFFF"/>
        </w:rPr>
        <w:t xml:space="preserve"> геронтологический центр» - 92%</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2. «</w:t>
      </w:r>
      <w:proofErr w:type="spellStart"/>
      <w:r>
        <w:rPr>
          <w:rFonts w:ascii="Times New Roman" w:hAnsi="Times New Roman"/>
          <w:sz w:val="24"/>
          <w:shd w:val="clear" w:color="auto" w:fill="FFFFFF"/>
        </w:rPr>
        <w:t>Краснокамский</w:t>
      </w:r>
      <w:proofErr w:type="spellEnd"/>
      <w:r>
        <w:rPr>
          <w:rFonts w:ascii="Times New Roman" w:hAnsi="Times New Roman"/>
          <w:sz w:val="24"/>
          <w:shd w:val="clear" w:color="auto" w:fill="FFFFFF"/>
        </w:rPr>
        <w:t xml:space="preserve"> дом-интернат для престарелых и инвалидов» - филиал КГАУ «Верхне-</w:t>
      </w:r>
      <w:proofErr w:type="spellStart"/>
      <w:r>
        <w:rPr>
          <w:rFonts w:ascii="Times New Roman" w:hAnsi="Times New Roman"/>
          <w:sz w:val="24"/>
          <w:shd w:val="clear" w:color="auto" w:fill="FFFFFF"/>
        </w:rPr>
        <w:t>Курьинский</w:t>
      </w:r>
      <w:proofErr w:type="spellEnd"/>
      <w:r>
        <w:rPr>
          <w:rFonts w:ascii="Times New Roman" w:hAnsi="Times New Roman"/>
          <w:sz w:val="24"/>
          <w:shd w:val="clear" w:color="auto" w:fill="FFFFFF"/>
        </w:rPr>
        <w:t xml:space="preserve"> геронтологический центр» - 92%</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3. «</w:t>
      </w:r>
      <w:proofErr w:type="spellStart"/>
      <w:r>
        <w:rPr>
          <w:rFonts w:ascii="Times New Roman" w:hAnsi="Times New Roman"/>
          <w:sz w:val="24"/>
          <w:shd w:val="clear" w:color="auto" w:fill="FFFFFF"/>
        </w:rPr>
        <w:t>Култаевский</w:t>
      </w:r>
      <w:proofErr w:type="spellEnd"/>
      <w:r>
        <w:rPr>
          <w:rFonts w:ascii="Times New Roman" w:hAnsi="Times New Roman"/>
          <w:sz w:val="24"/>
          <w:shd w:val="clear" w:color="auto" w:fill="FFFFFF"/>
        </w:rPr>
        <w:t xml:space="preserve"> дом-интернат для престарелых и инвалидов» - филиал КГАУ «Верхне-</w:t>
      </w:r>
      <w:proofErr w:type="spellStart"/>
      <w:r>
        <w:rPr>
          <w:rFonts w:ascii="Times New Roman" w:hAnsi="Times New Roman"/>
          <w:sz w:val="24"/>
          <w:shd w:val="clear" w:color="auto" w:fill="FFFFFF"/>
        </w:rPr>
        <w:t>Курьинский</w:t>
      </w:r>
      <w:proofErr w:type="spellEnd"/>
      <w:r>
        <w:rPr>
          <w:rFonts w:ascii="Times New Roman" w:hAnsi="Times New Roman"/>
          <w:sz w:val="24"/>
          <w:shd w:val="clear" w:color="auto" w:fill="FFFFFF"/>
        </w:rPr>
        <w:t xml:space="preserve"> геронтологический центр» - 92%</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ab/>
        <w:t>Единственные сведения, которые не размещены на их сайтах – это информация о проведении независимой оценки качества оказания услуг, что вполне объяснимо, учитывая, что процедура независимой оценки введена в Российской Федерации как обязательная совсем недавно.</w:t>
      </w:r>
    </w:p>
    <w:p w:rsidR="00E05EFB" w:rsidRDefault="00E05EFB">
      <w:pPr>
        <w:spacing w:after="0" w:line="360" w:lineRule="auto"/>
        <w:ind w:firstLine="567"/>
        <w:jc w:val="both"/>
        <w:rPr>
          <w:rFonts w:ascii="Times New Roman" w:hAnsi="Times New Roman"/>
          <w:sz w:val="24"/>
          <w:shd w:val="clear" w:color="auto" w:fill="FFFFFF"/>
        </w:rPr>
      </w:pPr>
      <w:r>
        <w:rPr>
          <w:rFonts w:ascii="Times New Roman" w:hAnsi="Times New Roman"/>
          <w:sz w:val="24"/>
          <w:shd w:val="clear" w:color="auto" w:fill="FFFFFF"/>
        </w:rPr>
        <w:t>Сайты большей части учреждений (28 из 48) на сегодня соответствуют требованиям законодательства на 30 – 60%, что оценивается в рамках экспертизы на 0,6 балла.</w:t>
      </w:r>
    </w:p>
    <w:p w:rsidR="00E05EFB" w:rsidRDefault="00E05EFB">
      <w:pPr>
        <w:spacing w:after="0" w:line="360" w:lineRule="auto"/>
        <w:ind w:firstLine="567"/>
        <w:jc w:val="both"/>
        <w:rPr>
          <w:rFonts w:ascii="Times New Roman" w:hAnsi="Times New Roman"/>
          <w:b/>
          <w:i/>
          <w:sz w:val="24"/>
        </w:rPr>
      </w:pPr>
    </w:p>
    <w:p w:rsidR="00E05EFB" w:rsidRDefault="00E05EFB">
      <w:pPr>
        <w:spacing w:after="0" w:line="360" w:lineRule="auto"/>
        <w:ind w:firstLine="567"/>
        <w:jc w:val="both"/>
        <w:rPr>
          <w:rFonts w:ascii="Times New Roman" w:hAnsi="Times New Roman"/>
          <w:i/>
          <w:sz w:val="24"/>
        </w:rPr>
      </w:pPr>
      <w:r>
        <w:rPr>
          <w:rFonts w:ascii="Times New Roman" w:hAnsi="Times New Roman"/>
          <w:i/>
          <w:sz w:val="24"/>
        </w:rPr>
        <w:t>в) оценка наличия информации о деятельности организации социального обслуживания (в том числе о перечне, порядке и условиях предоставления социальных услуг, тарифах на социальные услуги) на информационных стендах в помещениях организации, размещение ее в брошюрах, буклетах.</w:t>
      </w:r>
    </w:p>
    <w:p w:rsidR="00E05EFB" w:rsidRDefault="00E05EFB">
      <w:pPr>
        <w:spacing w:after="0" w:line="360" w:lineRule="auto"/>
        <w:ind w:left="567"/>
        <w:jc w:val="both"/>
        <w:rPr>
          <w:rFonts w:ascii="Times New Roman" w:hAnsi="Times New Roman"/>
          <w:sz w:val="24"/>
        </w:rPr>
      </w:pPr>
      <w:r>
        <w:rPr>
          <w:rFonts w:ascii="Times New Roman" w:hAnsi="Times New Roman"/>
          <w:i/>
          <w:sz w:val="24"/>
        </w:rPr>
        <w:t>Анализ информационных стендов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Для анализа информационной доступности учреждений социального обслуживания был использован метод наблюдения. Экспертами  проведен осмотр  информационных стендов, где предоставляется информация для потребителей услуг, сделан анализ информационных буклетов.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Кроме того, фиксировалось наличие/отсутствие информации на стендах учреждений:</w:t>
      </w:r>
    </w:p>
    <w:p w:rsidR="00E05EFB" w:rsidRDefault="00E05EFB">
      <w:pPr>
        <w:numPr>
          <w:ilvl w:val="0"/>
          <w:numId w:val="7"/>
        </w:numPr>
        <w:spacing w:after="0" w:line="360" w:lineRule="auto"/>
        <w:ind w:left="927" w:hanging="360"/>
        <w:jc w:val="both"/>
        <w:rPr>
          <w:rFonts w:ascii="Times New Roman" w:hAnsi="Times New Roman"/>
          <w:sz w:val="24"/>
        </w:rPr>
      </w:pPr>
      <w:r>
        <w:rPr>
          <w:rFonts w:ascii="Times New Roman" w:hAnsi="Times New Roman"/>
          <w:sz w:val="24"/>
        </w:rPr>
        <w:t>ФЗ «Об основах социального  обслуживания граждан в Российской Федерации» № 442 от 25.12.2013 г.;</w:t>
      </w:r>
    </w:p>
    <w:p w:rsidR="00E05EFB" w:rsidRDefault="00E05EFB">
      <w:pPr>
        <w:numPr>
          <w:ilvl w:val="0"/>
          <w:numId w:val="7"/>
        </w:numPr>
        <w:spacing w:after="0" w:line="360" w:lineRule="auto"/>
        <w:ind w:left="927" w:hanging="360"/>
        <w:jc w:val="both"/>
        <w:rPr>
          <w:rFonts w:ascii="Times New Roman" w:hAnsi="Times New Roman"/>
          <w:sz w:val="24"/>
        </w:rPr>
      </w:pPr>
      <w:r>
        <w:rPr>
          <w:rFonts w:ascii="Times New Roman" w:hAnsi="Times New Roman"/>
          <w:sz w:val="24"/>
        </w:rPr>
        <w:t>перечень услуг, предоставляемых в учреждении;</w:t>
      </w:r>
    </w:p>
    <w:p w:rsidR="00E05EFB" w:rsidRDefault="00E05EFB">
      <w:pPr>
        <w:numPr>
          <w:ilvl w:val="0"/>
          <w:numId w:val="7"/>
        </w:numPr>
        <w:spacing w:after="0" w:line="360" w:lineRule="auto"/>
        <w:ind w:left="927" w:hanging="360"/>
        <w:jc w:val="both"/>
        <w:rPr>
          <w:rFonts w:ascii="Times New Roman" w:hAnsi="Times New Roman"/>
          <w:sz w:val="24"/>
        </w:rPr>
      </w:pPr>
      <w:r>
        <w:rPr>
          <w:rFonts w:ascii="Times New Roman" w:hAnsi="Times New Roman"/>
          <w:sz w:val="24"/>
        </w:rPr>
        <w:t>тарифы на оказание платных услуг;</w:t>
      </w:r>
    </w:p>
    <w:p w:rsidR="00E05EFB" w:rsidRDefault="00E05EFB">
      <w:pPr>
        <w:numPr>
          <w:ilvl w:val="0"/>
          <w:numId w:val="7"/>
        </w:numPr>
        <w:spacing w:after="0" w:line="360" w:lineRule="auto"/>
        <w:ind w:left="927" w:hanging="360"/>
        <w:jc w:val="both"/>
        <w:rPr>
          <w:rFonts w:ascii="Times New Roman" w:hAnsi="Times New Roman"/>
          <w:sz w:val="24"/>
        </w:rPr>
      </w:pPr>
      <w:r>
        <w:rPr>
          <w:rFonts w:ascii="Times New Roman" w:hAnsi="Times New Roman"/>
          <w:sz w:val="24"/>
        </w:rPr>
        <w:t>информация об учреждении, его структурных подразделениях, отделениях;</w:t>
      </w:r>
    </w:p>
    <w:p w:rsidR="00E05EFB" w:rsidRDefault="00E05EFB">
      <w:pPr>
        <w:numPr>
          <w:ilvl w:val="0"/>
          <w:numId w:val="7"/>
        </w:numPr>
        <w:spacing w:after="0" w:line="360" w:lineRule="auto"/>
        <w:ind w:left="927" w:hanging="360"/>
        <w:jc w:val="both"/>
        <w:rPr>
          <w:rFonts w:ascii="Times New Roman" w:hAnsi="Times New Roman"/>
          <w:sz w:val="24"/>
        </w:rPr>
      </w:pPr>
      <w:r>
        <w:rPr>
          <w:rFonts w:ascii="Times New Roman" w:hAnsi="Times New Roman"/>
          <w:sz w:val="24"/>
        </w:rPr>
        <w:lastRenderedPageBreak/>
        <w:t>тематическая информация о деятельности учреждения, графике и количестве проводимых мероприятий, месте и времени работы специалистов.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соответствии с методикой оценки учреждений социального обслуживания наличие данной информации на  стендах оценивалось в 1 балл.</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По итогам  наблюдения можно сделать вывод, что во всех учреждениях информация данного типа была представлена на стендах, а также размещена в папках для клиентов, которые  находились в непосредственной близости от информационных стендов.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Недостатки, выявленные в ходе проведения оценки информации, размещенной на стендах (характерны для большинства учреждений): </w:t>
      </w:r>
    </w:p>
    <w:p w:rsidR="00E05EFB" w:rsidRDefault="00E05EFB">
      <w:pPr>
        <w:numPr>
          <w:ilvl w:val="0"/>
          <w:numId w:val="8"/>
        </w:numPr>
        <w:spacing w:after="0" w:line="360" w:lineRule="auto"/>
        <w:ind w:left="927" w:hanging="360"/>
        <w:jc w:val="both"/>
        <w:rPr>
          <w:rFonts w:ascii="Times New Roman" w:hAnsi="Times New Roman"/>
          <w:sz w:val="24"/>
        </w:rPr>
      </w:pPr>
      <w:r>
        <w:rPr>
          <w:rFonts w:ascii="Times New Roman" w:hAnsi="Times New Roman"/>
          <w:sz w:val="24"/>
        </w:rPr>
        <w:t xml:space="preserve"> стенды, чаще всего, находятся высоко и не учитывают интересы и возможности маломобильных потребителей услуг;</w:t>
      </w:r>
    </w:p>
    <w:p w:rsidR="00E05EFB" w:rsidRDefault="00E05EFB">
      <w:pPr>
        <w:numPr>
          <w:ilvl w:val="0"/>
          <w:numId w:val="8"/>
        </w:numPr>
        <w:spacing w:after="0" w:line="360" w:lineRule="auto"/>
        <w:ind w:left="927" w:hanging="360"/>
        <w:jc w:val="both"/>
        <w:rPr>
          <w:rFonts w:ascii="Times New Roman" w:hAnsi="Times New Roman"/>
          <w:sz w:val="24"/>
        </w:rPr>
      </w:pPr>
      <w:r>
        <w:rPr>
          <w:rFonts w:ascii="Times New Roman" w:hAnsi="Times New Roman"/>
          <w:sz w:val="24"/>
        </w:rPr>
        <w:t xml:space="preserve"> информация, как правило,  имеет мелкий шрифт, не всегда  размещены разъяснения содержания новых норм.</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Как положительный  момент в работе с новой информацией необходимо отметить следующее. Из бесед со специалистами учреждений, руководителями филиалов и учреждений было выявлено, что специалисты проводят групповые разъяснительные мероприятия с потребителями услуг и доводят до них информацию, в том числе, с учетом специфических особенностей проживающих. В качестве примеров  здесь можно назвать:</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w:t>
      </w:r>
      <w:proofErr w:type="spellStart"/>
      <w:r>
        <w:rPr>
          <w:rFonts w:ascii="Times New Roman" w:hAnsi="Times New Roman"/>
          <w:sz w:val="24"/>
        </w:rPr>
        <w:t>Култаевский</w:t>
      </w:r>
      <w:proofErr w:type="spellEnd"/>
      <w:r>
        <w:rPr>
          <w:rFonts w:ascii="Times New Roman" w:hAnsi="Times New Roman"/>
          <w:sz w:val="24"/>
        </w:rPr>
        <w:t xml:space="preserve"> ДИПИ, </w:t>
      </w:r>
      <w:proofErr w:type="spellStart"/>
      <w:r>
        <w:rPr>
          <w:rFonts w:ascii="Times New Roman" w:hAnsi="Times New Roman"/>
          <w:sz w:val="24"/>
        </w:rPr>
        <w:t>Никоновский</w:t>
      </w:r>
      <w:proofErr w:type="spellEnd"/>
      <w:r>
        <w:rPr>
          <w:rFonts w:ascii="Times New Roman" w:hAnsi="Times New Roman"/>
          <w:sz w:val="24"/>
        </w:rPr>
        <w:t xml:space="preserve"> филиал </w:t>
      </w:r>
      <w:proofErr w:type="spellStart"/>
      <w:r>
        <w:rPr>
          <w:rFonts w:ascii="Times New Roman" w:hAnsi="Times New Roman"/>
          <w:sz w:val="24"/>
        </w:rPr>
        <w:t>Губахинского</w:t>
      </w:r>
      <w:proofErr w:type="spellEnd"/>
      <w:r>
        <w:rPr>
          <w:rFonts w:ascii="Times New Roman" w:hAnsi="Times New Roman"/>
          <w:sz w:val="24"/>
        </w:rPr>
        <w:t xml:space="preserve"> ПНИ - наличие специальных стендов для колясочников, расположенных на 1 этаже здания на уровне, удобных для чтения представителями данной категории клиентов.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w:t>
      </w:r>
      <w:proofErr w:type="spellStart"/>
      <w:r>
        <w:rPr>
          <w:rFonts w:ascii="Times New Roman" w:hAnsi="Times New Roman"/>
          <w:sz w:val="24"/>
        </w:rPr>
        <w:t>Никоновский</w:t>
      </w:r>
      <w:proofErr w:type="spellEnd"/>
      <w:r>
        <w:rPr>
          <w:rFonts w:ascii="Times New Roman" w:hAnsi="Times New Roman"/>
          <w:sz w:val="24"/>
        </w:rPr>
        <w:t xml:space="preserve"> филиал </w:t>
      </w:r>
      <w:proofErr w:type="spellStart"/>
      <w:r>
        <w:rPr>
          <w:rFonts w:ascii="Times New Roman" w:hAnsi="Times New Roman"/>
          <w:sz w:val="24"/>
        </w:rPr>
        <w:t>Губахинского</w:t>
      </w:r>
      <w:proofErr w:type="spellEnd"/>
      <w:r>
        <w:rPr>
          <w:rFonts w:ascii="Times New Roman" w:hAnsi="Times New Roman"/>
          <w:sz w:val="24"/>
        </w:rPr>
        <w:t xml:space="preserve"> ПНИ – представление информации в формате, доступном для разных категорий клиентов, использование разных шрифтов.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Нытвенский</w:t>
      </w:r>
      <w:proofErr w:type="spellEnd"/>
      <w:r>
        <w:rPr>
          <w:rFonts w:ascii="Times New Roman" w:hAnsi="Times New Roman"/>
          <w:sz w:val="24"/>
        </w:rPr>
        <w:t xml:space="preserve"> ПНИ, Казанское отделение Дубровского ПНИ – наличие иллюстрированных и схематичных изображений содержания социальных услуг, предоставляемых клиентам, в форме, доступной для инвалидов с психическими и ментальными нарушениями.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Пермский ГПЦ, Чайковский ДИПИ – размещение тематических информационных стендов по отделениям учреждения, наличие ответственных за размещение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w:t>
      </w:r>
      <w:proofErr w:type="spellStart"/>
      <w:r>
        <w:rPr>
          <w:rFonts w:ascii="Times New Roman" w:hAnsi="Times New Roman"/>
          <w:sz w:val="24"/>
        </w:rPr>
        <w:t>Кучинский</w:t>
      </w:r>
      <w:proofErr w:type="spellEnd"/>
      <w:r>
        <w:rPr>
          <w:rFonts w:ascii="Times New Roman" w:hAnsi="Times New Roman"/>
          <w:sz w:val="24"/>
        </w:rPr>
        <w:t xml:space="preserve"> ПНИ – наличие описанной схемы информационной среды учреждения.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Дубровский ПНИ, Ильинский ПНИ, </w:t>
      </w:r>
      <w:proofErr w:type="spellStart"/>
      <w:r>
        <w:rPr>
          <w:rFonts w:ascii="Times New Roman" w:hAnsi="Times New Roman"/>
          <w:sz w:val="24"/>
        </w:rPr>
        <w:t>Пальниковский</w:t>
      </w:r>
      <w:proofErr w:type="spellEnd"/>
      <w:r>
        <w:rPr>
          <w:rFonts w:ascii="Times New Roman" w:hAnsi="Times New Roman"/>
          <w:sz w:val="24"/>
        </w:rPr>
        <w:t xml:space="preserve"> ПНИ – наличие схематически изображенных регламентов оказания социально-бытовых и иных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w:t>
      </w:r>
      <w:proofErr w:type="spellStart"/>
      <w:r>
        <w:rPr>
          <w:rFonts w:ascii="Times New Roman" w:hAnsi="Times New Roman"/>
          <w:sz w:val="24"/>
        </w:rPr>
        <w:t>Вишерский</w:t>
      </w:r>
      <w:proofErr w:type="spellEnd"/>
      <w:r>
        <w:rPr>
          <w:rFonts w:ascii="Times New Roman" w:hAnsi="Times New Roman"/>
          <w:sz w:val="24"/>
        </w:rPr>
        <w:t xml:space="preserve"> ПНИ, </w:t>
      </w:r>
      <w:proofErr w:type="spellStart"/>
      <w:r>
        <w:rPr>
          <w:rFonts w:ascii="Times New Roman" w:hAnsi="Times New Roman"/>
          <w:sz w:val="24"/>
        </w:rPr>
        <w:t>Суксунский</w:t>
      </w:r>
      <w:proofErr w:type="spellEnd"/>
      <w:r>
        <w:rPr>
          <w:rFonts w:ascii="Times New Roman" w:hAnsi="Times New Roman"/>
          <w:sz w:val="24"/>
        </w:rPr>
        <w:t xml:space="preserve"> ПНИ, Казанское отделение и </w:t>
      </w:r>
      <w:proofErr w:type="spellStart"/>
      <w:r>
        <w:rPr>
          <w:rFonts w:ascii="Times New Roman" w:hAnsi="Times New Roman"/>
          <w:sz w:val="24"/>
        </w:rPr>
        <w:t>Нытвенский</w:t>
      </w:r>
      <w:proofErr w:type="spellEnd"/>
      <w:r>
        <w:rPr>
          <w:rFonts w:ascii="Times New Roman" w:hAnsi="Times New Roman"/>
          <w:sz w:val="24"/>
        </w:rPr>
        <w:t xml:space="preserve"> филиал Дубровского ПНИ и некоторые другие – наличие на стендах иллюстрированной информации о деятельности учреждения.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 xml:space="preserve"> -Марковский геронтопсихиатрический центр – наличие адресной информации для посетителей учреждения (членов семей клиентов) в комнате для посетителей.</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качестве рекомендации по совершенствованию внутренней среды учреждений можно рекомендовать внедрение данных практик повсеместно.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Стоит отметить, что в процессе наблюдения и беседы с руководителями филиалов учреждений было установлено, что есть сложности размещения информационных стендов на высоте, доступной для маломобильных клиентов из-за наличия поручней на стенах (Соликамский ДИПИ, </w:t>
      </w:r>
      <w:proofErr w:type="spellStart"/>
      <w:r>
        <w:rPr>
          <w:rFonts w:ascii="Times New Roman" w:hAnsi="Times New Roman"/>
          <w:sz w:val="24"/>
        </w:rPr>
        <w:t>Дубравинский</w:t>
      </w:r>
      <w:proofErr w:type="spellEnd"/>
      <w:r>
        <w:rPr>
          <w:rFonts w:ascii="Times New Roman" w:hAnsi="Times New Roman"/>
          <w:sz w:val="24"/>
        </w:rPr>
        <w:t xml:space="preserve"> филиал, например) при этом, информационные стенды, их содержание, форма и размещение согласуются с потребителями услуг.</w:t>
      </w:r>
    </w:p>
    <w:p w:rsidR="00E05EFB" w:rsidRDefault="00E05EFB">
      <w:pPr>
        <w:spacing w:after="0" w:line="360" w:lineRule="auto"/>
        <w:ind w:firstLine="567"/>
        <w:jc w:val="both"/>
        <w:rPr>
          <w:rFonts w:ascii="Times New Roman" w:hAnsi="Times New Roman"/>
          <w:b/>
          <w:i/>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i/>
          <w:sz w:val="24"/>
        </w:rPr>
        <w:t xml:space="preserve">Анализ информационных буклетов и брошюр учреждений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Для анализа информационных буклетов и услуг учреждений были представлены следующие информационные материалы:</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КГАУ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 2 буклета (информация об учреждении и информация о порядке предоставления социальных услуг в соответствии с ФЗ № 442 «Об основах социального обслуживания граждан Российской Федерации»);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КГАУ «Соликамский дом-интернат для престарелых и инвалидов»: 2 буклета  («На пути к активному долголетию» (информация об учреждении) и «Реабилитационные площадки как одна из форм работы с пожилыми гражданами и инвалидами»);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-КГАСУСОН «Дубровский психоневрологический интернат»: 1 буклет –"Информация об учреждении";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КГАУСОН «Озерский психоневрологический интернат»: 1 буклет - "Информация о порядке предоставления социальных услуг в соответствии с ФЗ №442 «Об основах социального обслуживания граждан Российской Федерации»;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КГАСУСОН «Чайковский дом-интернат для престарелых и инвалидов»: 1 буклет -  "Информация об учреждении"; брошюра – иллюстрированная информация об учреждении, содержащая полную информацию о деятельности учреждения и его филиалов, перечне оказываемых услуг, тарифах на услуги;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«Марковский геронтопсихиатрический центр – филиал КГАСУСОН «Чайковский дом-интернат для престарелых и инвалидов»: 1 буклет - "Информация об учреждении";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КГАУСОН «Пермский геронтопсихиатрический центр» - информационная листовка о деятельности учреждения.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Остальными учреждениями информационные брошюры и буклеты представлены не были.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В качестве примера лучших практик следует назвать брошюру КГАСУСОН «Чайковский дом-интернат для престарелых и инвалидов», содержащую полную и хорошо иллюстрированную информацию о деятельности учреждения, а также информационный буклет КГАУ «Соликамский дом-интернат для престарелых и инвалидов» «На пути к активному долголетию», в котором в адаптированном виде  для  проживающих и членов их семей  предоставлена информация об учреждении и его филиалах, стоимость   услуг,  порядок устройства в учреждение.</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32"/>
        </w:rPr>
      </w:pPr>
      <w:r>
        <w:rPr>
          <w:rFonts w:ascii="Times New Roman" w:hAnsi="Times New Roman"/>
          <w:b/>
          <w:i/>
          <w:sz w:val="24"/>
        </w:rPr>
        <w:t>2.2. Показатель для анализа: наличие возможности направления заявления (жалобы), предложений и отзывов о качестве предоставления социальных услуг</w:t>
      </w:r>
      <w:r>
        <w:rPr>
          <w:rFonts w:ascii="Times New Roman" w:hAnsi="Times New Roman"/>
          <w:b/>
          <w:i/>
          <w:sz w:val="20"/>
        </w:rPr>
        <w:t xml:space="preserve"> </w:t>
      </w:r>
      <w:r>
        <w:rPr>
          <w:rFonts w:ascii="Times New Roman" w:hAnsi="Times New Roman"/>
          <w:b/>
          <w:i/>
          <w:sz w:val="24"/>
        </w:rPr>
        <w:t>лично в организацию социального обслуживания</w:t>
      </w:r>
      <w:r>
        <w:rPr>
          <w:rFonts w:ascii="Times New Roman" w:hAnsi="Times New Roman"/>
          <w:b/>
          <w:i/>
          <w:sz w:val="32"/>
        </w:rPr>
        <w:t xml:space="preserve">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Наличие возможности направления заявления (жалобы), предложений и отзывов о качестве предоставления социальных услуг оценивалось посредством наблюдения (наличие информации о руководстве учреждения, специалистах учреждения, время приема потребителей услуг руководителем учреждения и руководителем филиала), а также анализ книг жалоб, отзывов и предложений, имеющихся в учреждениях.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большинстве учреждений информация о руководстве учреждения, специалистах,  времени приема проживающих, членов их семей руководителем учреждения и руководителем филиала имеется, однако, размещена она, как правило, в административной части учреждений (например, «Пермский геронтопсихиатрический центр», </w:t>
      </w:r>
      <w:proofErr w:type="spellStart"/>
      <w:r>
        <w:rPr>
          <w:rFonts w:ascii="Times New Roman" w:hAnsi="Times New Roman"/>
          <w:sz w:val="24"/>
        </w:rPr>
        <w:t>Пальниковский</w:t>
      </w:r>
      <w:proofErr w:type="spellEnd"/>
      <w:r>
        <w:rPr>
          <w:rFonts w:ascii="Times New Roman" w:hAnsi="Times New Roman"/>
          <w:sz w:val="24"/>
        </w:rPr>
        <w:t xml:space="preserve"> филиал Пермского ГПЦ, </w:t>
      </w:r>
      <w:proofErr w:type="spellStart"/>
      <w:r>
        <w:rPr>
          <w:rFonts w:ascii="Times New Roman" w:hAnsi="Times New Roman"/>
          <w:sz w:val="24"/>
        </w:rPr>
        <w:t>Краснокамский</w:t>
      </w:r>
      <w:proofErr w:type="spellEnd"/>
      <w:r>
        <w:rPr>
          <w:rFonts w:ascii="Times New Roman" w:hAnsi="Times New Roman"/>
          <w:sz w:val="24"/>
        </w:rPr>
        <w:t xml:space="preserve"> филиал Верхне-</w:t>
      </w:r>
      <w:proofErr w:type="spellStart"/>
      <w:r>
        <w:rPr>
          <w:rFonts w:ascii="Times New Roman" w:hAnsi="Times New Roman"/>
          <w:sz w:val="24"/>
        </w:rPr>
        <w:t>Курьинского</w:t>
      </w:r>
      <w:proofErr w:type="spellEnd"/>
      <w:r>
        <w:rPr>
          <w:rFonts w:ascii="Times New Roman" w:hAnsi="Times New Roman"/>
          <w:sz w:val="24"/>
        </w:rPr>
        <w:t xml:space="preserve"> геронтологического центра), что затрудняет  доступ потребителей услуг к данной информации, особенно из числа маломобильных граждан и в тех случаях, когда администрация учреждения находится на 2 или 3 этажах здания без лифта.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Как пример лучшей практики в данном направлении,  размещение в доступных местах, в том числе, для маломобильных потребителей услуг, планов и программ работы   филиалов Дубровского ПНИ, Озерского ПНИ, Соликамского ДИПИ.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При проведении экспертизы были проанализированы книги жалоб и предложений, имеющиеся в учреждениях.  Практически во всех учреждениях имеются книги жалоб и предложений (книги отзывов и предложений), в отдельных учреждениях имеются книги жалоб и предложений в местах питания клиентов (в столовой),  в ряде учреждений (</w:t>
      </w:r>
      <w:proofErr w:type="spellStart"/>
      <w:r>
        <w:rPr>
          <w:rFonts w:ascii="Times New Roman" w:hAnsi="Times New Roman"/>
          <w:sz w:val="24"/>
        </w:rPr>
        <w:t>Сарсинское</w:t>
      </w:r>
      <w:proofErr w:type="spellEnd"/>
      <w:r>
        <w:rPr>
          <w:rFonts w:ascii="Times New Roman" w:hAnsi="Times New Roman"/>
          <w:sz w:val="24"/>
        </w:rPr>
        <w:t xml:space="preserve"> отделение Озерского ПНИ, </w:t>
      </w:r>
      <w:proofErr w:type="spellStart"/>
      <w:r>
        <w:rPr>
          <w:rFonts w:ascii="Times New Roman" w:hAnsi="Times New Roman"/>
          <w:sz w:val="24"/>
        </w:rPr>
        <w:t>Суксунский</w:t>
      </w:r>
      <w:proofErr w:type="spellEnd"/>
      <w:r>
        <w:rPr>
          <w:rFonts w:ascii="Times New Roman" w:hAnsi="Times New Roman"/>
          <w:sz w:val="24"/>
        </w:rPr>
        <w:t xml:space="preserve"> ПНИ), имеются книги отзывов посетителей. Надо отметить, что в тех учреждениях, где книги отзывов и предложений находятся в общедоступных местах и нет регламента подачи клиентами жалоб и предложений, в них содержатся, в основном, благодарности клиентов за проведенные </w:t>
      </w:r>
      <w:r>
        <w:rPr>
          <w:rFonts w:ascii="Times New Roman" w:hAnsi="Times New Roman"/>
          <w:sz w:val="24"/>
        </w:rPr>
        <w:lastRenderedPageBreak/>
        <w:t xml:space="preserve">мероприятия (например, </w:t>
      </w:r>
      <w:proofErr w:type="spellStart"/>
      <w:r>
        <w:rPr>
          <w:rFonts w:ascii="Times New Roman" w:hAnsi="Times New Roman"/>
          <w:sz w:val="24"/>
        </w:rPr>
        <w:t>Красновишерский</w:t>
      </w:r>
      <w:proofErr w:type="spellEnd"/>
      <w:r>
        <w:rPr>
          <w:rFonts w:ascii="Times New Roman" w:hAnsi="Times New Roman"/>
          <w:sz w:val="24"/>
        </w:rPr>
        <w:t xml:space="preserve"> ПНИ) или благодарности родственников клиентов (Озерский ПНИ и его филиалы).</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качестве замечаний, на момент проведения общественной экспертизы стоит отметить, во-первых, отсутствие книг отзывов, жалоб и предложений в </w:t>
      </w:r>
      <w:proofErr w:type="spellStart"/>
      <w:r>
        <w:rPr>
          <w:rFonts w:ascii="Times New Roman" w:hAnsi="Times New Roman"/>
          <w:sz w:val="24"/>
        </w:rPr>
        <w:t>Кизеловском</w:t>
      </w:r>
      <w:proofErr w:type="spellEnd"/>
      <w:r>
        <w:rPr>
          <w:rFonts w:ascii="Times New Roman" w:hAnsi="Times New Roman"/>
          <w:sz w:val="24"/>
        </w:rPr>
        <w:t xml:space="preserve"> ПНИ,  Краснокамском филиале Верхне-</w:t>
      </w:r>
      <w:proofErr w:type="spellStart"/>
      <w:r>
        <w:rPr>
          <w:rFonts w:ascii="Times New Roman" w:hAnsi="Times New Roman"/>
          <w:sz w:val="24"/>
        </w:rPr>
        <w:t>Курьинского</w:t>
      </w:r>
      <w:proofErr w:type="spellEnd"/>
      <w:r>
        <w:rPr>
          <w:rFonts w:ascii="Times New Roman" w:hAnsi="Times New Roman"/>
          <w:sz w:val="24"/>
        </w:rPr>
        <w:t xml:space="preserve"> геронтологического центра, и, во-вторых, то, что в большинстве учреждений книги отзывов, заполняются редко и не отражают «реакцию» администрации учреждения на обращения потребителей услуг (даже если это благодарность или пожелание).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качестве примеров иных практик стоит отметить книги обращений потребителей услуг, которые ведут специалисты Чайковского ДИПИ, Озерского ПНИ, Ильинского ДИПИ, где подробно отражены все обращения клиентов с различными жалобами и вопросами и описаны действия специалистов по их разрешению.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качестве особой практики «обратной связи» можно назвать ящики для обращений потребителей услуг, которые есть в большинстве учреждений (</w:t>
      </w:r>
      <w:proofErr w:type="spellStart"/>
      <w:r>
        <w:rPr>
          <w:rFonts w:ascii="Times New Roman" w:hAnsi="Times New Roman"/>
          <w:sz w:val="24"/>
        </w:rPr>
        <w:t>Вишерский</w:t>
      </w:r>
      <w:proofErr w:type="spellEnd"/>
      <w:r>
        <w:rPr>
          <w:rFonts w:ascii="Times New Roman" w:hAnsi="Times New Roman"/>
          <w:sz w:val="24"/>
        </w:rPr>
        <w:t xml:space="preserve"> ПНИ, Дубровский ПНИ и его филиалы, Озерский ПНИ и его филиалы, Пермский ГПЦ). Здесь особо надо отметить Озерский ПНИ, где ящик для обращений расположен в укромном месте, обеспечивая конфиденциальность подачи обращения клиентом.</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2.3. Показатель для анализа - наличие информации о порядке подачи жалобы по вопросам качества оказания социальных услуг в общедоступных местах на информационных стендах в организации социального обслуживания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Для анализа информации о порядке подачи жалобы были изучены информационные стенды учреждений социального обслуживания. В качестве единиц для анализа выступили: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наличие информации о порядке подачи обращения и/или жалобы в учреждение социального обслуживания (наличие регламента оказания социально-правовых услуг), в том числе – в адаптированной для потребителей услуг - форме;</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наличие информации о вышестоящих организациях, контрольно-надзорных органах и их контактов (информации о Министерстве социального развития Пермского края, Уполномоченном по правам человека, </w:t>
      </w:r>
      <w:proofErr w:type="spellStart"/>
      <w:r>
        <w:rPr>
          <w:rFonts w:ascii="Times New Roman" w:hAnsi="Times New Roman"/>
          <w:sz w:val="24"/>
        </w:rPr>
        <w:t>Роспотребнадзоре</w:t>
      </w:r>
      <w:proofErr w:type="spellEnd"/>
      <w:r>
        <w:rPr>
          <w:rFonts w:ascii="Times New Roman" w:hAnsi="Times New Roman"/>
          <w:sz w:val="24"/>
        </w:rPr>
        <w:t>).</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Показатель «1»  говорит о наличии данной информации, «0,5» - частичном наличии, «0» - об отсутствии. Как видно из таблицы, не все учреждения размещают информацию о порядке подачи жалоб на информационном стенде. Большая часть данной информации располагается в «головных» учреждениях, хотя клиенты постоянно проживают во всех учреждениях, там же их посещают родственники и знакомые.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 xml:space="preserve">В качестве рекомендации можно предложить специалистам учреждений уточнить наличие информации о контрольно-надзорных органах и разместить информацию о порядке подачи жалобы/обращения в данные учреждения в адаптированной для клиентов форме.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целом, в ходе экспертной оценки информационной среды учреждений было установлено, что руководители и сотрудники учреждений понимают необходимость выполнения требований российского законодательства об информационной доступности и открытости учреждений, ведут работу по формированию информационного пространства учреждения.  В качестве рекомендации также можно высказать и необходимость разработки типового регламента организации информационного пространства учреждений и обучение сотрудников основам современных информационных технологий.</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710"/>
        <w:jc w:val="both"/>
        <w:rPr>
          <w:rFonts w:ascii="Times New Roman" w:hAnsi="Times New Roman"/>
          <w:b/>
          <w:i/>
          <w:sz w:val="24"/>
        </w:rPr>
      </w:pPr>
      <w:r>
        <w:rPr>
          <w:rFonts w:ascii="Times New Roman" w:hAnsi="Times New Roman"/>
          <w:b/>
          <w:i/>
          <w:sz w:val="24"/>
        </w:rPr>
        <w:t>2.4. Показатель для анализа - доля получателей социальных услуг, удовлетворенных качеством, полнотой и доступностью информации (при личном обращении, по телефону, на официальном сайте организации социального обслуживания) о работе организации социального обслуживания, в том числе о перечне и порядке предоставления социальных услуг,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Анализ был сделан</w:t>
      </w:r>
      <w:r>
        <w:rPr>
          <w:rFonts w:ascii="Times New Roman" w:hAnsi="Times New Roman"/>
          <w:b/>
          <w:sz w:val="24"/>
        </w:rPr>
        <w:t xml:space="preserve"> </w:t>
      </w:r>
      <w:r>
        <w:rPr>
          <w:rFonts w:ascii="Times New Roman" w:hAnsi="Times New Roman"/>
          <w:sz w:val="24"/>
        </w:rPr>
        <w:t>на основе анкетного опроса потребителей услуг о качестве, полноте и доступности информации о работе учреждения, в том числе, о перечне и порядке предоставления социальных услуг. Стоит отметить, что только 2/3 клиентов высоко оценивают информационную доступность учреждений, при этом, более критичны к качеству и доступности информации клиенты домов-интернатов для престарелых и инвалидов</w:t>
      </w:r>
      <w:r>
        <w:rPr>
          <w:rFonts w:ascii="Times New Roman" w:hAnsi="Times New Roman"/>
          <w:b/>
          <w:sz w:val="24"/>
        </w:rPr>
        <w:t xml:space="preserve">, </w:t>
      </w:r>
      <w:r>
        <w:rPr>
          <w:rFonts w:ascii="Times New Roman" w:hAnsi="Times New Roman"/>
          <w:sz w:val="24"/>
        </w:rPr>
        <w:t xml:space="preserve">клиенты, проживавшие до поступления в учреждения в Перми и клиенты – инвалиды III группы. Наименее критичны к информационному обеспечению деятельности учреждения лица в возрасте 41-50 лет, клиенты психоневрологических интернатов, лица, не являющиеся инвалидами. Поэтому можно рекомендовать специалистам учреждений ориентироваться при улучшении информационного обеспечения деятельности учреждений на запросы и потребности этих групп потребителей услуг. В общей сложности, 78% опрошенных клиентов удовлетворены качеством, полнотой и доступностью информации в учреждении.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целом, в лидерах по показателю «Информационная открытость и доступность» учреждений по результатам независимой экспертизы оказались «Дубровский ПНИ» </w:t>
      </w:r>
      <w:r>
        <w:rPr>
          <w:rFonts w:ascii="Times New Roman" w:hAnsi="Times New Roman"/>
          <w:sz w:val="24"/>
        </w:rPr>
        <w:lastRenderedPageBreak/>
        <w:t>(суммарный балл 11,7), а также его филиалы: «Садовое отделение» (11,6) и «</w:t>
      </w:r>
      <w:proofErr w:type="spellStart"/>
      <w:r>
        <w:rPr>
          <w:rFonts w:ascii="Times New Roman" w:hAnsi="Times New Roman"/>
          <w:sz w:val="24"/>
        </w:rPr>
        <w:t>Нытвенский</w:t>
      </w:r>
      <w:proofErr w:type="spellEnd"/>
      <w:r>
        <w:rPr>
          <w:rFonts w:ascii="Times New Roman" w:hAnsi="Times New Roman"/>
          <w:sz w:val="24"/>
        </w:rPr>
        <w:t xml:space="preserve"> ПНИ» (11,2). В лидерах также «</w:t>
      </w:r>
      <w:proofErr w:type="spellStart"/>
      <w:r>
        <w:rPr>
          <w:rFonts w:ascii="Times New Roman" w:hAnsi="Times New Roman"/>
          <w:sz w:val="24"/>
        </w:rPr>
        <w:t>Кучинский</w:t>
      </w:r>
      <w:proofErr w:type="spellEnd"/>
      <w:r>
        <w:rPr>
          <w:rFonts w:ascii="Times New Roman" w:hAnsi="Times New Roman"/>
          <w:sz w:val="24"/>
        </w:rPr>
        <w:t xml:space="preserve"> ПНИ» и «Соликамский ДИПИ» (11,5), «</w:t>
      </w:r>
      <w:proofErr w:type="spellStart"/>
      <w:r>
        <w:rPr>
          <w:rFonts w:ascii="Times New Roman" w:hAnsi="Times New Roman"/>
          <w:sz w:val="24"/>
        </w:rPr>
        <w:t>Губахинский</w:t>
      </w:r>
      <w:proofErr w:type="spellEnd"/>
      <w:r>
        <w:rPr>
          <w:rFonts w:ascii="Times New Roman" w:hAnsi="Times New Roman"/>
          <w:sz w:val="24"/>
        </w:rPr>
        <w:t xml:space="preserve"> ПНИ» (11,4), «</w:t>
      </w:r>
      <w:proofErr w:type="spellStart"/>
      <w:r>
        <w:rPr>
          <w:rFonts w:ascii="Times New Roman" w:hAnsi="Times New Roman"/>
          <w:sz w:val="24"/>
        </w:rPr>
        <w:t>Краснокамский</w:t>
      </w:r>
      <w:proofErr w:type="spellEnd"/>
      <w:r>
        <w:rPr>
          <w:rFonts w:ascii="Times New Roman" w:hAnsi="Times New Roman"/>
          <w:sz w:val="24"/>
        </w:rPr>
        <w:t xml:space="preserve"> ДИПИ» (11,1) и «Озерский ПНИ» (11). Среди учреждений, которым особо надо обратить внимание на совершенствование информационной среды – «</w:t>
      </w:r>
      <w:proofErr w:type="spellStart"/>
      <w:r>
        <w:rPr>
          <w:rFonts w:ascii="Times New Roman" w:hAnsi="Times New Roman"/>
          <w:sz w:val="24"/>
        </w:rPr>
        <w:t>Пелымский</w:t>
      </w:r>
      <w:proofErr w:type="spellEnd"/>
      <w:r>
        <w:rPr>
          <w:rFonts w:ascii="Times New Roman" w:hAnsi="Times New Roman"/>
          <w:sz w:val="24"/>
        </w:rPr>
        <w:t xml:space="preserve"> филиал </w:t>
      </w:r>
      <w:proofErr w:type="spellStart"/>
      <w:r>
        <w:rPr>
          <w:rFonts w:ascii="Times New Roman" w:hAnsi="Times New Roman"/>
          <w:sz w:val="24"/>
        </w:rPr>
        <w:t>Кудымкарского</w:t>
      </w:r>
      <w:proofErr w:type="spellEnd"/>
      <w:r>
        <w:rPr>
          <w:rFonts w:ascii="Times New Roman" w:hAnsi="Times New Roman"/>
          <w:sz w:val="24"/>
        </w:rPr>
        <w:t xml:space="preserve"> ДИПИ» (суммарный балл 6,7), «Калининский ПНИ» (7,5), Березовский ДИПИ (7,6) и «</w:t>
      </w:r>
      <w:proofErr w:type="spellStart"/>
      <w:r>
        <w:rPr>
          <w:rFonts w:ascii="Times New Roman" w:hAnsi="Times New Roman"/>
          <w:sz w:val="24"/>
        </w:rPr>
        <w:t>Ашапский</w:t>
      </w:r>
      <w:proofErr w:type="spellEnd"/>
      <w:r>
        <w:rPr>
          <w:rFonts w:ascii="Times New Roman" w:hAnsi="Times New Roman"/>
          <w:sz w:val="24"/>
        </w:rPr>
        <w:t xml:space="preserve"> ПНИ» (7,7) – филиалы «Озерского ПНИ».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качестве рекомендации учреждениям можно предложить проводить больше информационно-разъяснительной работы с клиентами относительно содержания информации, размещенной на стендах учреждений, знакомить клиентов с информационными технологиями и </w:t>
      </w:r>
      <w:proofErr w:type="spellStart"/>
      <w:r>
        <w:rPr>
          <w:rFonts w:ascii="Times New Roman" w:hAnsi="Times New Roman"/>
          <w:sz w:val="24"/>
        </w:rPr>
        <w:t>Internet</w:t>
      </w:r>
      <w:proofErr w:type="spellEnd"/>
      <w:r>
        <w:rPr>
          <w:rFonts w:ascii="Times New Roman" w:hAnsi="Times New Roman"/>
          <w:sz w:val="24"/>
        </w:rPr>
        <w:t>-технологиями (насколько это возможно, как, делают, например, в «</w:t>
      </w:r>
      <w:proofErr w:type="spellStart"/>
      <w:r>
        <w:rPr>
          <w:rFonts w:ascii="Times New Roman" w:hAnsi="Times New Roman"/>
          <w:sz w:val="24"/>
        </w:rPr>
        <w:t>Дубравинском</w:t>
      </w:r>
      <w:proofErr w:type="spellEnd"/>
      <w:r>
        <w:rPr>
          <w:rFonts w:ascii="Times New Roman" w:hAnsi="Times New Roman"/>
          <w:sz w:val="24"/>
        </w:rPr>
        <w:t xml:space="preserve"> филиале Соликамского ДИПИ»  и «Марковском ГПЦ» - филиале «Чайковского ДИПИ»). Это позволит повысить удовлетворенность клиентов информационной средой учреждения.</w:t>
      </w:r>
    </w:p>
    <w:p w:rsidR="00E05EFB" w:rsidRDefault="00E05EFB">
      <w:pPr>
        <w:spacing w:after="0" w:line="360" w:lineRule="auto"/>
        <w:ind w:firstLine="567"/>
        <w:jc w:val="both"/>
        <w:rPr>
          <w:rFonts w:ascii="Times New Roman" w:hAnsi="Times New Roman"/>
          <w:sz w:val="24"/>
        </w:rPr>
      </w:pPr>
    </w:p>
    <w:p w:rsidR="00E05EFB" w:rsidRDefault="00E05EFB">
      <w:pPr>
        <w:jc w:val="center"/>
        <w:rPr>
          <w:rFonts w:ascii="Times New Roman" w:hAnsi="Times New Roman"/>
          <w:b/>
          <w:sz w:val="24"/>
        </w:rPr>
      </w:pPr>
      <w:r>
        <w:rPr>
          <w:rFonts w:ascii="Times New Roman" w:hAnsi="Times New Roman"/>
          <w:b/>
          <w:sz w:val="24"/>
        </w:rPr>
        <w:t>3. Оценка комфортности условий предоставления социальных услуг и доступности их получения</w:t>
      </w:r>
    </w:p>
    <w:p w:rsidR="00E05EFB" w:rsidRDefault="00E05EFB">
      <w:pPr>
        <w:spacing w:after="0" w:line="360" w:lineRule="auto"/>
        <w:ind w:left="207"/>
        <w:jc w:val="both"/>
        <w:rPr>
          <w:rFonts w:ascii="Times New Roman" w:hAnsi="Times New Roman"/>
          <w:b/>
          <w:sz w:val="24"/>
        </w:rPr>
      </w:pPr>
    </w:p>
    <w:p w:rsidR="00E05EFB" w:rsidRDefault="00E05EFB">
      <w:pPr>
        <w:tabs>
          <w:tab w:val="left" w:pos="568"/>
        </w:tabs>
        <w:spacing w:after="0" w:line="360" w:lineRule="auto"/>
        <w:ind w:firstLine="568"/>
        <w:jc w:val="both"/>
        <w:rPr>
          <w:rFonts w:ascii="Times New Roman" w:hAnsi="Times New Roman"/>
          <w:b/>
          <w:i/>
          <w:sz w:val="24"/>
        </w:rPr>
      </w:pPr>
      <w:r>
        <w:rPr>
          <w:rFonts w:ascii="Times New Roman" w:hAnsi="Times New Roman"/>
          <w:b/>
          <w:i/>
          <w:sz w:val="24"/>
        </w:rPr>
        <w:t>3.1. Показатель для анализа - доступность условий беспрепятственного доступа к объектам и услугам в организации социального обслуживания для инвалидов (в том числе детей-инвалидов) и других маломобильных групп получателей социальных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Доступность условий для получения услуг представителями маломобильных групп осуществлялась посредством наблюдения и оценки соответствия помещений, занимаемых учреждениями, и прилегающей территории требованиям национальных стандартов в области доступности среды для маломобильных категорий граждан.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Учреждение считается соответствующим требованиям, если: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оборудована территория для представителей маломобильных групп, в том числе, потребителей услуг  с нарушениями функций опорно-двигательного аппарата, зрения и слуха;</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оборудованы входные зоны (ширина входных и комнатных дверей соответствует требованиям ГОСТ, отсутствуют пороги, есть пандус и/или подъемник, в здании есть лифт);</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 xml:space="preserve"> - в здании есть специально оборудованные для представителей маломобильных групп санитарно-гигиенические помещения (оборудованные поручнями, специальными подъемниками);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 - в помещениях имеются видео- и </w:t>
      </w:r>
      <w:proofErr w:type="spellStart"/>
      <w:r>
        <w:rPr>
          <w:rFonts w:ascii="Times New Roman" w:hAnsi="Times New Roman"/>
          <w:sz w:val="24"/>
        </w:rPr>
        <w:t>аудиоинформаторы</w:t>
      </w:r>
      <w:proofErr w:type="spellEnd"/>
      <w:r>
        <w:rPr>
          <w:rFonts w:ascii="Times New Roman" w:hAnsi="Times New Roman"/>
          <w:sz w:val="24"/>
        </w:rPr>
        <w:t xml:space="preserve"> для лиц с нарушениями зрения и слуха.</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Необходимо отметить, что большинство учреждений стационарного социального обслуживания населения находятся в приспособленных зданиях (кроме Верхне-</w:t>
      </w:r>
      <w:proofErr w:type="spellStart"/>
      <w:r>
        <w:rPr>
          <w:rFonts w:ascii="Times New Roman" w:hAnsi="Times New Roman"/>
          <w:sz w:val="24"/>
        </w:rPr>
        <w:t>Курьинского</w:t>
      </w:r>
      <w:proofErr w:type="spellEnd"/>
      <w:r>
        <w:rPr>
          <w:rFonts w:ascii="Times New Roman" w:hAnsi="Times New Roman"/>
          <w:sz w:val="24"/>
        </w:rPr>
        <w:t xml:space="preserve"> геронтологического центра, </w:t>
      </w:r>
      <w:proofErr w:type="spellStart"/>
      <w:r>
        <w:rPr>
          <w:rFonts w:ascii="Times New Roman" w:hAnsi="Times New Roman"/>
          <w:sz w:val="24"/>
        </w:rPr>
        <w:t>Кудымкарского</w:t>
      </w:r>
      <w:proofErr w:type="spellEnd"/>
      <w:r>
        <w:rPr>
          <w:rFonts w:ascii="Times New Roman" w:hAnsi="Times New Roman"/>
          <w:sz w:val="24"/>
        </w:rPr>
        <w:t xml:space="preserve"> ДИПИ, Чайковского ДИПИ, Пермского геронтопсихиатрического центра). Поэтому, признать полное соответствие  всем требованиям ГОСТа сложно.  Однако следует отметить, что большинством учреждений была проведена значительная работа по обеспечению доступной среды для маломобильных групп, в некоторых учреждениях на момент проведения оценки шли ремонтные работы в помещениях учреждений (</w:t>
      </w:r>
      <w:proofErr w:type="spellStart"/>
      <w:r>
        <w:rPr>
          <w:rFonts w:ascii="Times New Roman" w:hAnsi="Times New Roman"/>
          <w:sz w:val="24"/>
        </w:rPr>
        <w:t>Голубевское</w:t>
      </w:r>
      <w:proofErr w:type="spellEnd"/>
      <w:r>
        <w:rPr>
          <w:rFonts w:ascii="Times New Roman" w:hAnsi="Times New Roman"/>
          <w:sz w:val="24"/>
        </w:rPr>
        <w:t xml:space="preserve"> отделение Дубровского ПНИ, </w:t>
      </w:r>
      <w:proofErr w:type="spellStart"/>
      <w:r>
        <w:rPr>
          <w:rFonts w:ascii="Times New Roman" w:hAnsi="Times New Roman"/>
          <w:sz w:val="24"/>
        </w:rPr>
        <w:t>Кудымкарский</w:t>
      </w:r>
      <w:proofErr w:type="spellEnd"/>
      <w:r>
        <w:rPr>
          <w:rFonts w:ascii="Times New Roman" w:hAnsi="Times New Roman"/>
          <w:sz w:val="24"/>
        </w:rPr>
        <w:t xml:space="preserve"> ДИПИ, </w:t>
      </w:r>
      <w:proofErr w:type="spellStart"/>
      <w:r>
        <w:rPr>
          <w:rFonts w:ascii="Times New Roman" w:hAnsi="Times New Roman"/>
          <w:sz w:val="24"/>
        </w:rPr>
        <w:t>Красновишерский</w:t>
      </w:r>
      <w:proofErr w:type="spellEnd"/>
      <w:r>
        <w:rPr>
          <w:rFonts w:ascii="Times New Roman" w:hAnsi="Times New Roman"/>
          <w:sz w:val="24"/>
        </w:rPr>
        <w:t xml:space="preserve"> ПНИ), на прилегающих территориях (</w:t>
      </w:r>
      <w:proofErr w:type="spellStart"/>
      <w:r>
        <w:rPr>
          <w:rFonts w:ascii="Times New Roman" w:hAnsi="Times New Roman"/>
          <w:sz w:val="24"/>
        </w:rPr>
        <w:t>Кудымкарский</w:t>
      </w:r>
      <w:proofErr w:type="spellEnd"/>
      <w:r>
        <w:rPr>
          <w:rFonts w:ascii="Times New Roman" w:hAnsi="Times New Roman"/>
          <w:sz w:val="24"/>
        </w:rPr>
        <w:t xml:space="preserve"> ДИПИ, Чайковский ДИПИ, </w:t>
      </w:r>
      <w:proofErr w:type="spellStart"/>
      <w:r>
        <w:rPr>
          <w:rFonts w:ascii="Times New Roman" w:hAnsi="Times New Roman"/>
          <w:sz w:val="24"/>
        </w:rPr>
        <w:t>Губахинский</w:t>
      </w:r>
      <w:proofErr w:type="spellEnd"/>
      <w:r>
        <w:rPr>
          <w:rFonts w:ascii="Times New Roman" w:hAnsi="Times New Roman"/>
          <w:sz w:val="24"/>
        </w:rPr>
        <w:t xml:space="preserve"> ПНИ, </w:t>
      </w:r>
      <w:proofErr w:type="spellStart"/>
      <w:r>
        <w:rPr>
          <w:rFonts w:ascii="Times New Roman" w:hAnsi="Times New Roman"/>
          <w:sz w:val="24"/>
        </w:rPr>
        <w:t>Кизеловский</w:t>
      </w:r>
      <w:proofErr w:type="spellEnd"/>
      <w:r>
        <w:rPr>
          <w:rFonts w:ascii="Times New Roman" w:hAnsi="Times New Roman"/>
          <w:sz w:val="24"/>
        </w:rPr>
        <w:t xml:space="preserve"> ПНИ). Наиболее удачным примером обеспечения внешней </w:t>
      </w:r>
      <w:proofErr w:type="spellStart"/>
      <w:r>
        <w:rPr>
          <w:rFonts w:ascii="Times New Roman" w:hAnsi="Times New Roman"/>
          <w:sz w:val="24"/>
        </w:rPr>
        <w:t>безбарьерной</w:t>
      </w:r>
      <w:proofErr w:type="spellEnd"/>
      <w:r>
        <w:rPr>
          <w:rFonts w:ascii="Times New Roman" w:hAnsi="Times New Roman"/>
          <w:sz w:val="24"/>
        </w:rPr>
        <w:t xml:space="preserve"> среды необходимо назвать Пермский геронтопсихиатрический центр, в котором территория оборудована не только для лиц, передвигающихся на креслах-колясках, но и для слабовидящих клиентов (рельефная плитка).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Сложнее выстроить адаптационные условия для маломобильных потребителей услуг в нетиповых учреждениях. Так, например, в </w:t>
      </w:r>
      <w:proofErr w:type="spellStart"/>
      <w:r>
        <w:rPr>
          <w:rFonts w:ascii="Times New Roman" w:hAnsi="Times New Roman"/>
          <w:sz w:val="24"/>
        </w:rPr>
        <w:t>Сарсинском</w:t>
      </w:r>
      <w:proofErr w:type="spellEnd"/>
      <w:r>
        <w:rPr>
          <w:rFonts w:ascii="Times New Roman" w:hAnsi="Times New Roman"/>
          <w:sz w:val="24"/>
        </w:rPr>
        <w:t xml:space="preserve"> отделении Озерского ПНИ  при установке  поручней в коридорах, данная площадь значительно сократиться. По той же причине практически не оборудованы здания </w:t>
      </w:r>
      <w:proofErr w:type="spellStart"/>
      <w:r>
        <w:rPr>
          <w:rFonts w:ascii="Times New Roman" w:hAnsi="Times New Roman"/>
          <w:sz w:val="24"/>
        </w:rPr>
        <w:t>Нытвенского</w:t>
      </w:r>
      <w:proofErr w:type="spellEnd"/>
      <w:r>
        <w:rPr>
          <w:rFonts w:ascii="Times New Roman" w:hAnsi="Times New Roman"/>
          <w:sz w:val="24"/>
        </w:rPr>
        <w:t xml:space="preserve"> и Березовского ПНИ. Требует большой работы по благоустройству территория Калининского ПНИ.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связи с этим, по данному параметру оценки 2/3 учреждений попадают в категорию «частично оборудованы». Руководители большинства учреждений и филиалов в качестве выхода из  этой неблагоприятной ситуации предоставляют первые этажи зданий  для маломобильных клиентов  (например, в Дубровском ПНИ это – </w:t>
      </w:r>
      <w:proofErr w:type="spellStart"/>
      <w:r>
        <w:rPr>
          <w:rFonts w:ascii="Times New Roman" w:hAnsi="Times New Roman"/>
          <w:sz w:val="24"/>
        </w:rPr>
        <w:t>Голубевское</w:t>
      </w:r>
      <w:proofErr w:type="spellEnd"/>
      <w:r>
        <w:rPr>
          <w:rFonts w:ascii="Times New Roman" w:hAnsi="Times New Roman"/>
          <w:sz w:val="24"/>
        </w:rPr>
        <w:t xml:space="preserve"> отделение, в </w:t>
      </w:r>
      <w:proofErr w:type="spellStart"/>
      <w:r>
        <w:rPr>
          <w:rFonts w:ascii="Times New Roman" w:hAnsi="Times New Roman"/>
          <w:sz w:val="24"/>
        </w:rPr>
        <w:t>Губахинском</w:t>
      </w:r>
      <w:proofErr w:type="spellEnd"/>
      <w:r>
        <w:rPr>
          <w:rFonts w:ascii="Times New Roman" w:hAnsi="Times New Roman"/>
          <w:sz w:val="24"/>
        </w:rPr>
        <w:t xml:space="preserve"> ПНИ – сам </w:t>
      </w:r>
      <w:proofErr w:type="spellStart"/>
      <w:r>
        <w:rPr>
          <w:rFonts w:ascii="Times New Roman" w:hAnsi="Times New Roman"/>
          <w:sz w:val="24"/>
        </w:rPr>
        <w:t>Губахинский</w:t>
      </w:r>
      <w:proofErr w:type="spellEnd"/>
      <w:r>
        <w:rPr>
          <w:rFonts w:ascii="Times New Roman" w:hAnsi="Times New Roman"/>
          <w:sz w:val="24"/>
        </w:rPr>
        <w:t xml:space="preserve"> ПНИ, в Озерском ПНИ – Октябрьский ДИПИ, в Соликамском ДИПИ – </w:t>
      </w:r>
      <w:proofErr w:type="spellStart"/>
      <w:r>
        <w:rPr>
          <w:rFonts w:ascii="Times New Roman" w:hAnsi="Times New Roman"/>
          <w:sz w:val="24"/>
        </w:rPr>
        <w:t>Березниковский</w:t>
      </w:r>
      <w:proofErr w:type="spellEnd"/>
      <w:r>
        <w:rPr>
          <w:rFonts w:ascii="Times New Roman" w:hAnsi="Times New Roman"/>
          <w:sz w:val="24"/>
        </w:rPr>
        <w:t xml:space="preserve"> филиал и </w:t>
      </w:r>
      <w:proofErr w:type="spellStart"/>
      <w:r>
        <w:rPr>
          <w:rFonts w:ascii="Times New Roman" w:hAnsi="Times New Roman"/>
          <w:sz w:val="24"/>
        </w:rPr>
        <w:t>Вишерский</w:t>
      </w:r>
      <w:proofErr w:type="spellEnd"/>
      <w:r>
        <w:rPr>
          <w:rFonts w:ascii="Times New Roman" w:hAnsi="Times New Roman"/>
          <w:sz w:val="24"/>
        </w:rPr>
        <w:t xml:space="preserve"> ПНИ).  </w:t>
      </w:r>
    </w:p>
    <w:p w:rsidR="00E05EFB" w:rsidRDefault="00E05EFB">
      <w:pPr>
        <w:spacing w:after="0" w:line="360" w:lineRule="auto"/>
        <w:ind w:firstLine="567"/>
        <w:jc w:val="both"/>
        <w:rPr>
          <w:rFonts w:ascii="Times New Roman" w:hAnsi="Times New Roman"/>
          <w:spacing w:val="1"/>
          <w:sz w:val="24"/>
        </w:rPr>
      </w:pPr>
      <w:r>
        <w:rPr>
          <w:rFonts w:ascii="Times New Roman" w:hAnsi="Times New Roman"/>
          <w:i/>
          <w:sz w:val="24"/>
        </w:rPr>
        <w:t xml:space="preserve">В категорию «частично оборудованы» практически половина учреждений попадают по критерию «Оборудование входных зон для маломобильных групп населения». </w:t>
      </w:r>
      <w:r>
        <w:rPr>
          <w:rFonts w:ascii="Times New Roman" w:hAnsi="Times New Roman"/>
          <w:sz w:val="24"/>
        </w:rPr>
        <w:t xml:space="preserve">Действительно, в большинстве учреждений на момент обследования, были установлены пандусы при входе или оборудованы дополнительные въезды для маломобильных категорий граждан. Но не все входные конструкции соответствуют требованиям ГОСТа и </w:t>
      </w:r>
      <w:r>
        <w:rPr>
          <w:rFonts w:ascii="Times New Roman" w:hAnsi="Times New Roman"/>
          <w:spacing w:val="1"/>
          <w:sz w:val="24"/>
        </w:rPr>
        <w:lastRenderedPageBreak/>
        <w:t xml:space="preserve">СП 59.13330.2012 «Доступность зданий и сооружений для маломобильных групп населения. Актуализированная редакция СНиП 35-01-2001». Так, на момент проведения экспертизы не было пандуса при входе в учреждение в Коспашском ПНИ, </w:t>
      </w:r>
      <w:proofErr w:type="spellStart"/>
      <w:r>
        <w:rPr>
          <w:rFonts w:ascii="Times New Roman" w:hAnsi="Times New Roman"/>
          <w:spacing w:val="1"/>
          <w:sz w:val="24"/>
        </w:rPr>
        <w:t>Кизеловском</w:t>
      </w:r>
      <w:proofErr w:type="spellEnd"/>
      <w:r>
        <w:rPr>
          <w:rFonts w:ascii="Times New Roman" w:hAnsi="Times New Roman"/>
          <w:spacing w:val="1"/>
          <w:sz w:val="24"/>
        </w:rPr>
        <w:t xml:space="preserve"> ПНИ, </w:t>
      </w:r>
      <w:proofErr w:type="spellStart"/>
      <w:r>
        <w:rPr>
          <w:rFonts w:ascii="Times New Roman" w:hAnsi="Times New Roman"/>
          <w:spacing w:val="1"/>
          <w:sz w:val="24"/>
        </w:rPr>
        <w:t>Кудымкарском</w:t>
      </w:r>
      <w:proofErr w:type="spellEnd"/>
      <w:r>
        <w:rPr>
          <w:rFonts w:ascii="Times New Roman" w:hAnsi="Times New Roman"/>
          <w:spacing w:val="1"/>
          <w:sz w:val="24"/>
        </w:rPr>
        <w:t xml:space="preserve"> ДИПИ.  </w:t>
      </w:r>
    </w:p>
    <w:p w:rsidR="00E05EFB" w:rsidRDefault="00E05EFB">
      <w:pPr>
        <w:spacing w:after="0" w:line="360" w:lineRule="auto"/>
        <w:ind w:firstLine="567"/>
        <w:jc w:val="both"/>
        <w:rPr>
          <w:rFonts w:ascii="Times New Roman" w:hAnsi="Times New Roman"/>
          <w:spacing w:val="1"/>
          <w:sz w:val="24"/>
        </w:rPr>
      </w:pPr>
      <w:r>
        <w:rPr>
          <w:rFonts w:ascii="Times New Roman" w:hAnsi="Times New Roman"/>
          <w:spacing w:val="1"/>
          <w:sz w:val="24"/>
        </w:rPr>
        <w:t xml:space="preserve">Опрос клиентов учреждений показал, что, в целом, они удовлетворены благоустройством и содержанием помещений и территорий, 88% клиентов оценили благоустройство и содержание помещений и территорий как хорошее. Незначительную долю  неудовлетворенности демонстрируют потребители услуг в возрасте  71-80 лет и люди, проживающие в домах-интернатах для престарелых и инвалидов, тогда как потребители услуг в возрасте до 50 лет и, граждане, проживающие в психоневрологических интернатах, весьма положительно оценивают условия проживания в учреждениях.  </w:t>
      </w:r>
    </w:p>
    <w:p w:rsidR="00E05EFB" w:rsidRDefault="00E05EFB">
      <w:pPr>
        <w:spacing w:after="0" w:line="360" w:lineRule="auto"/>
        <w:ind w:firstLine="567"/>
        <w:jc w:val="both"/>
        <w:rPr>
          <w:rFonts w:ascii="Times New Roman" w:hAnsi="Times New Roman"/>
          <w:spacing w:val="1"/>
          <w:sz w:val="24"/>
        </w:rPr>
      </w:pPr>
      <w:r>
        <w:rPr>
          <w:rFonts w:ascii="Times New Roman" w:hAnsi="Times New Roman"/>
          <w:spacing w:val="1"/>
          <w:sz w:val="24"/>
        </w:rPr>
        <w:t xml:space="preserve">Отдельный вопрос для проведения анализа – наличие специально оборудованного санитарно-гигиенического помещения. При проведении экспертизы оценивалось наличие поручней, соответствие ширины дверей требованиям </w:t>
      </w:r>
      <w:r>
        <w:rPr>
          <w:rFonts w:ascii="Times New Roman" w:hAnsi="Times New Roman"/>
          <w:sz w:val="24"/>
        </w:rPr>
        <w:t xml:space="preserve">ГОСТа и </w:t>
      </w:r>
      <w:r>
        <w:rPr>
          <w:rFonts w:ascii="Times New Roman" w:hAnsi="Times New Roman"/>
          <w:spacing w:val="1"/>
          <w:sz w:val="24"/>
        </w:rPr>
        <w:t xml:space="preserve">СП 59.13330.2012 «Доступность зданий и сооружений для маломобильных групп населения. Актуализированная редакция СНиП 35-01-2001», наличие подъемников для лежачих клиентов. Необходимо отметить, что в большинстве учреждений данные требования соблюдены. В качестве примеров имеет смысл привести специально оборудованные учреждения </w:t>
      </w:r>
      <w:proofErr w:type="spellStart"/>
      <w:r>
        <w:rPr>
          <w:rFonts w:ascii="Times New Roman" w:hAnsi="Times New Roman"/>
          <w:spacing w:val="1"/>
          <w:sz w:val="24"/>
        </w:rPr>
        <w:t>Кудымкарского</w:t>
      </w:r>
      <w:proofErr w:type="spellEnd"/>
      <w:r>
        <w:rPr>
          <w:rFonts w:ascii="Times New Roman" w:hAnsi="Times New Roman"/>
          <w:spacing w:val="1"/>
          <w:sz w:val="24"/>
        </w:rPr>
        <w:t xml:space="preserve"> ДИПИ, где баня, соединена с основным корпусом переходом, доступным, в том числе, для передвижения маломобильных клиентов, </w:t>
      </w:r>
      <w:proofErr w:type="spellStart"/>
      <w:r>
        <w:rPr>
          <w:rFonts w:ascii="Times New Roman" w:hAnsi="Times New Roman"/>
          <w:spacing w:val="1"/>
          <w:sz w:val="24"/>
        </w:rPr>
        <w:t>Березниковского</w:t>
      </w:r>
      <w:proofErr w:type="spellEnd"/>
      <w:r>
        <w:rPr>
          <w:rFonts w:ascii="Times New Roman" w:hAnsi="Times New Roman"/>
          <w:spacing w:val="1"/>
          <w:sz w:val="24"/>
        </w:rPr>
        <w:t xml:space="preserve"> филиала Соликамского ДИПИ, </w:t>
      </w:r>
      <w:proofErr w:type="spellStart"/>
      <w:r>
        <w:rPr>
          <w:rFonts w:ascii="Times New Roman" w:hAnsi="Times New Roman"/>
          <w:spacing w:val="1"/>
          <w:sz w:val="24"/>
        </w:rPr>
        <w:t>Оханского</w:t>
      </w:r>
      <w:proofErr w:type="spellEnd"/>
      <w:r>
        <w:rPr>
          <w:rFonts w:ascii="Times New Roman" w:hAnsi="Times New Roman"/>
          <w:spacing w:val="1"/>
          <w:sz w:val="24"/>
        </w:rPr>
        <w:t xml:space="preserve"> ДИПИ, </w:t>
      </w:r>
      <w:proofErr w:type="spellStart"/>
      <w:r>
        <w:rPr>
          <w:rFonts w:ascii="Times New Roman" w:hAnsi="Times New Roman"/>
          <w:spacing w:val="1"/>
          <w:sz w:val="24"/>
        </w:rPr>
        <w:t>Верещагинского</w:t>
      </w:r>
      <w:proofErr w:type="spellEnd"/>
      <w:r>
        <w:rPr>
          <w:rFonts w:ascii="Times New Roman" w:hAnsi="Times New Roman"/>
          <w:spacing w:val="1"/>
          <w:sz w:val="24"/>
        </w:rPr>
        <w:t xml:space="preserve"> ДИПИ, </w:t>
      </w:r>
      <w:proofErr w:type="spellStart"/>
      <w:r>
        <w:rPr>
          <w:rFonts w:ascii="Times New Roman" w:hAnsi="Times New Roman"/>
          <w:spacing w:val="1"/>
          <w:sz w:val="24"/>
        </w:rPr>
        <w:t>Бардымского</w:t>
      </w:r>
      <w:proofErr w:type="spellEnd"/>
      <w:r>
        <w:rPr>
          <w:rFonts w:ascii="Times New Roman" w:hAnsi="Times New Roman"/>
          <w:spacing w:val="1"/>
          <w:sz w:val="24"/>
        </w:rPr>
        <w:t xml:space="preserve"> ДИПИ, филиалов учреждений </w:t>
      </w:r>
      <w:proofErr w:type="spellStart"/>
      <w:r>
        <w:rPr>
          <w:rFonts w:ascii="Times New Roman" w:hAnsi="Times New Roman"/>
          <w:spacing w:val="1"/>
          <w:sz w:val="24"/>
        </w:rPr>
        <w:t>Кучинского</w:t>
      </w:r>
      <w:proofErr w:type="spellEnd"/>
      <w:r>
        <w:rPr>
          <w:rFonts w:ascii="Times New Roman" w:hAnsi="Times New Roman"/>
          <w:spacing w:val="1"/>
          <w:sz w:val="24"/>
        </w:rPr>
        <w:t xml:space="preserve"> ДИПИ.  </w:t>
      </w:r>
    </w:p>
    <w:p w:rsidR="00E05EFB" w:rsidRDefault="00E05EFB">
      <w:pPr>
        <w:spacing w:after="0" w:line="360" w:lineRule="auto"/>
        <w:ind w:firstLine="567"/>
        <w:jc w:val="both"/>
        <w:rPr>
          <w:rFonts w:ascii="Times New Roman" w:hAnsi="Times New Roman"/>
          <w:spacing w:val="1"/>
          <w:sz w:val="24"/>
        </w:rPr>
      </w:pPr>
      <w:r>
        <w:rPr>
          <w:rFonts w:ascii="Times New Roman" w:hAnsi="Times New Roman"/>
          <w:spacing w:val="1"/>
          <w:sz w:val="24"/>
        </w:rPr>
        <w:t>В ряде учреждений отсутствие поручней в санитарно-гигиенических помещениях  объясняют тем, что «лежачие» и маломобильные клиенты обслуживаются на своих местах, самостоятельно ванными и душевыми не пользуются, в учреждениях имеются биотуалеты для маломобильных клиентов.</w:t>
      </w:r>
    </w:p>
    <w:p w:rsidR="00E05EFB" w:rsidRDefault="00E05EFB">
      <w:pPr>
        <w:spacing w:after="0" w:line="360" w:lineRule="auto"/>
        <w:ind w:firstLine="567"/>
        <w:jc w:val="both"/>
        <w:rPr>
          <w:rFonts w:ascii="Times New Roman" w:hAnsi="Times New Roman"/>
          <w:spacing w:val="1"/>
          <w:sz w:val="24"/>
        </w:rPr>
      </w:pPr>
      <w:r>
        <w:rPr>
          <w:rFonts w:ascii="Times New Roman" w:hAnsi="Times New Roman"/>
          <w:spacing w:val="1"/>
          <w:sz w:val="24"/>
        </w:rPr>
        <w:t xml:space="preserve">Во всех учреждениях Пермского края в настоящее время отсутствует специальное оборудование – видео- и </w:t>
      </w:r>
      <w:proofErr w:type="spellStart"/>
      <w:r>
        <w:rPr>
          <w:rFonts w:ascii="Times New Roman" w:hAnsi="Times New Roman"/>
          <w:spacing w:val="1"/>
          <w:sz w:val="24"/>
        </w:rPr>
        <w:t>аудиоинформаторы</w:t>
      </w:r>
      <w:proofErr w:type="spellEnd"/>
      <w:r>
        <w:rPr>
          <w:rFonts w:ascii="Times New Roman" w:hAnsi="Times New Roman"/>
          <w:spacing w:val="1"/>
          <w:sz w:val="24"/>
        </w:rPr>
        <w:t xml:space="preserve"> для людей с нарушениями зрения и слуха. Во время проведения экспертизы в каждом учреждении задавался вопрос о наличии клиентов с нарушениями зрения и слуха и о наличии специального оборудования для данных клиентов. При этом световыми полосами для слабовидящих оборудован только </w:t>
      </w:r>
      <w:proofErr w:type="spellStart"/>
      <w:r>
        <w:rPr>
          <w:rFonts w:ascii="Times New Roman" w:hAnsi="Times New Roman"/>
          <w:spacing w:val="1"/>
          <w:sz w:val="24"/>
        </w:rPr>
        <w:t>Суксунский</w:t>
      </w:r>
      <w:proofErr w:type="spellEnd"/>
      <w:r>
        <w:rPr>
          <w:rFonts w:ascii="Times New Roman" w:hAnsi="Times New Roman"/>
          <w:spacing w:val="1"/>
          <w:sz w:val="24"/>
        </w:rPr>
        <w:t xml:space="preserve"> ПНИ. </w:t>
      </w:r>
      <w:proofErr w:type="spellStart"/>
      <w:r>
        <w:rPr>
          <w:rFonts w:ascii="Times New Roman" w:hAnsi="Times New Roman"/>
          <w:spacing w:val="1"/>
          <w:sz w:val="24"/>
        </w:rPr>
        <w:t>Видеоинформаторов</w:t>
      </w:r>
      <w:proofErr w:type="spellEnd"/>
      <w:r>
        <w:rPr>
          <w:rFonts w:ascii="Times New Roman" w:hAnsi="Times New Roman"/>
          <w:spacing w:val="1"/>
          <w:sz w:val="24"/>
        </w:rPr>
        <w:t xml:space="preserve"> в учреждениях нет вообще. Внутреннее радио имеется только в  Пермском геронтопсихиатрическом центре, </w:t>
      </w:r>
      <w:proofErr w:type="spellStart"/>
      <w:r>
        <w:rPr>
          <w:rFonts w:ascii="Times New Roman" w:hAnsi="Times New Roman"/>
          <w:spacing w:val="1"/>
          <w:sz w:val="24"/>
        </w:rPr>
        <w:t>Березниковском</w:t>
      </w:r>
      <w:proofErr w:type="spellEnd"/>
      <w:r>
        <w:rPr>
          <w:rFonts w:ascii="Times New Roman" w:hAnsi="Times New Roman"/>
          <w:spacing w:val="1"/>
          <w:sz w:val="24"/>
        </w:rPr>
        <w:t xml:space="preserve"> филиале Соликамского ДИПИ, </w:t>
      </w:r>
      <w:proofErr w:type="spellStart"/>
      <w:r>
        <w:rPr>
          <w:rFonts w:ascii="Times New Roman" w:hAnsi="Times New Roman"/>
          <w:spacing w:val="1"/>
          <w:sz w:val="24"/>
        </w:rPr>
        <w:t>Суксунском</w:t>
      </w:r>
      <w:proofErr w:type="spellEnd"/>
      <w:r>
        <w:rPr>
          <w:rFonts w:ascii="Times New Roman" w:hAnsi="Times New Roman"/>
          <w:spacing w:val="1"/>
          <w:sz w:val="24"/>
        </w:rPr>
        <w:t xml:space="preserve"> ПНИ. Все учреждения оборудованы звуковой </w:t>
      </w:r>
      <w:r>
        <w:rPr>
          <w:rFonts w:ascii="Times New Roman" w:hAnsi="Times New Roman"/>
          <w:spacing w:val="1"/>
          <w:sz w:val="24"/>
        </w:rPr>
        <w:lastRenderedPageBreak/>
        <w:t>системой оповещения о пожаре. Поэтому, по данному критерию оценки у всех учреждений стоит «0».</w:t>
      </w:r>
    </w:p>
    <w:p w:rsidR="00E05EFB" w:rsidRDefault="00E05EFB">
      <w:pPr>
        <w:spacing w:after="0" w:line="360" w:lineRule="auto"/>
        <w:ind w:firstLine="567"/>
        <w:jc w:val="both"/>
        <w:rPr>
          <w:rFonts w:ascii="Times New Roman" w:hAnsi="Times New Roman"/>
          <w:spacing w:val="1"/>
          <w:sz w:val="24"/>
        </w:rPr>
      </w:pPr>
    </w:p>
    <w:p w:rsidR="00E05EFB" w:rsidRDefault="00E05EFB">
      <w:pPr>
        <w:spacing w:after="0" w:line="360" w:lineRule="auto"/>
        <w:ind w:firstLine="568"/>
        <w:jc w:val="both"/>
        <w:rPr>
          <w:rFonts w:ascii="Times New Roman" w:hAnsi="Times New Roman"/>
          <w:b/>
          <w:i/>
          <w:sz w:val="24"/>
        </w:rPr>
      </w:pPr>
      <w:r>
        <w:rPr>
          <w:rFonts w:ascii="Times New Roman" w:hAnsi="Times New Roman"/>
          <w:b/>
          <w:i/>
          <w:sz w:val="24"/>
        </w:rPr>
        <w:t>3.2. Показатель для анализа - доля получателей услуг (в том числе инвалидов и других маломобильных групп получателей услуг), считающих условия оказания услуг доступными,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Оценка по данному критерию осуществлялась на основе анкетирования клиентов. В целом, 75% клиентов считают условия оказания социальных услуг в учреждении, доступными. Наиболее критичными в оценке доступности услуг оказались люди в возрасте 31-40 лет, имеющие 2 группу инвалидности и клиенты психоневрологических интернатов. Наиболее высоко доступность услуг оценивают молодежь в возрасте до 30 лет, не имеющие группы инвалидности и клиенты домов-интернатов для престарелых и инвалидов.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общем рейтинге доступности условий оказания услуг в учреждении низкий уровень доступности отметили только в Оханском ДИПИ, 71,4% получателей социальных услуг данного учреждения поставили ему именно такую оценку. Средний уровень доступности отметили в </w:t>
      </w:r>
      <w:proofErr w:type="spellStart"/>
      <w:r>
        <w:rPr>
          <w:rFonts w:ascii="Times New Roman" w:hAnsi="Times New Roman"/>
          <w:sz w:val="24"/>
        </w:rPr>
        <w:t>Гайвинском</w:t>
      </w:r>
      <w:proofErr w:type="spellEnd"/>
      <w:r>
        <w:rPr>
          <w:rFonts w:ascii="Times New Roman" w:hAnsi="Times New Roman"/>
          <w:sz w:val="24"/>
        </w:rPr>
        <w:t xml:space="preserve"> ДИПИ, Горнозаводском ПНИ, Гремячинском ПНИ, Дубровском ПНИ, Краснокамском ДИПИ, </w:t>
      </w:r>
      <w:proofErr w:type="spellStart"/>
      <w:r>
        <w:rPr>
          <w:rFonts w:ascii="Times New Roman" w:hAnsi="Times New Roman"/>
          <w:sz w:val="24"/>
        </w:rPr>
        <w:t>Кучинском</w:t>
      </w:r>
      <w:proofErr w:type="spellEnd"/>
      <w:r>
        <w:rPr>
          <w:rFonts w:ascii="Times New Roman" w:hAnsi="Times New Roman"/>
          <w:sz w:val="24"/>
        </w:rPr>
        <w:t xml:space="preserve"> ПНИ, </w:t>
      </w:r>
      <w:proofErr w:type="spellStart"/>
      <w:r>
        <w:rPr>
          <w:rFonts w:ascii="Times New Roman" w:hAnsi="Times New Roman"/>
          <w:sz w:val="24"/>
        </w:rPr>
        <w:t>Лысьвенском</w:t>
      </w:r>
      <w:proofErr w:type="spellEnd"/>
      <w:r>
        <w:rPr>
          <w:rFonts w:ascii="Times New Roman" w:hAnsi="Times New Roman"/>
          <w:sz w:val="24"/>
        </w:rPr>
        <w:t xml:space="preserve"> ПНИ (100% клиентов ответили так) и Верхне-</w:t>
      </w:r>
      <w:proofErr w:type="spellStart"/>
      <w:r>
        <w:rPr>
          <w:rFonts w:ascii="Times New Roman" w:hAnsi="Times New Roman"/>
          <w:sz w:val="24"/>
        </w:rPr>
        <w:t>Городковском</w:t>
      </w:r>
      <w:proofErr w:type="spellEnd"/>
      <w:r>
        <w:rPr>
          <w:rFonts w:ascii="Times New Roman" w:hAnsi="Times New Roman"/>
          <w:sz w:val="24"/>
        </w:rPr>
        <w:t xml:space="preserve"> ПНИ (так ответили 50% получателей услуг), а также в Оханском ДИПИ (28,6%). В остальном, клиенты остальных учреждений хорошо, высоко оценили доступность условий оказания услуг. </w:t>
      </w:r>
    </w:p>
    <w:p w:rsidR="00E05EFB" w:rsidRDefault="00E05EFB">
      <w:pPr>
        <w:spacing w:after="0" w:line="360" w:lineRule="auto"/>
        <w:ind w:firstLine="567"/>
        <w:jc w:val="both"/>
        <w:rPr>
          <w:rFonts w:ascii="Times New Roman" w:hAnsi="Times New Roman"/>
          <w:b/>
          <w:i/>
          <w:sz w:val="32"/>
        </w:rPr>
      </w:pPr>
      <w:r>
        <w:rPr>
          <w:rFonts w:ascii="Times New Roman" w:hAnsi="Times New Roman"/>
          <w:b/>
          <w:i/>
          <w:sz w:val="24"/>
        </w:rPr>
        <w:t>3.3.Показатель для анализа - наличие оборудованных помещений для предоставления социальных услуг в соответствии с перечнем социальных услуг, предоставляемых в данной организации социального обслуживания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Данный показатель анализировался с помощью наблюдения – визуальной оценки наличия помещений для оказания социальных услуг.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соответствии с нормативными документами, учреждениями стационарного социального обслуживания оказываются социально-бытовые, социально-медицинские, социально-психологические, социально-педагогические, социально-правовые, социально-трудовые услуги и услуги в целях повышения коммуникативного потенциала получателей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Для оказания социально-бытовых услуг во всех учреждениях имеются комнаты для проживания клиентов, оборудованные мебелью и мягким инвентарем в соответствии с состоянием здоровья клиента и степенью утраты им способности к самообслуживанию, помещения для питания клиентов, помещения для оказания санитарно-гигиенических </w:t>
      </w:r>
      <w:r>
        <w:rPr>
          <w:rFonts w:ascii="Times New Roman" w:hAnsi="Times New Roman"/>
          <w:sz w:val="24"/>
        </w:rPr>
        <w:lastRenderedPageBreak/>
        <w:t>услуг (ванные комнаты, бани, душевые, прачечные, гладильные комнаты, помещения для хранения вещей клиентов, в некоторых учреждениях – парикмахерские комнаты), ритуальные комнаты, помещения (холлы и залы) для проведения досуга и отдыха. По данному критерию можно говорить о 100% наличии помещений для оказания данного типа услуг. Причем, в некоторых учреждениях комнаты для проживания клиентов оборудованы санитарно-гигиеническими комнатами (например,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 в том числе, адаптированными для маломобильных категорий граждан. В некоторых учреждениях для клиентов оборудованы комнаты для самостоятельного приготовления пищи (Пермский геронтопсихиатрический центр,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Для оказания социально-медицинских услуг в учреждениях имеются медицинские посты и медицинские кабинеты. Перечень и объем социально-медицинских услуг в разных учреждениях стационарного социального обслуживания отличаются, что обусловлено наличием или отсутствием у учреждения лицензии на оказания определенных социальных услуг. В процессе обследования эксперты посетили все помещения для оказания социально-медицинских услуг, а также ознакомились с лицензиями на оказание медицинской деятельности.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Ситуация с помещениями для оказания социально-психологических, социально-педагогических, социально-трудовых и социально-правовых услуг клиентам учреждений социального обслуживания иная. Так, в ряде учреждений, особенно, небольших по размеру, у психологов нет отдельных кабинетов (</w:t>
      </w:r>
      <w:proofErr w:type="spellStart"/>
      <w:r>
        <w:rPr>
          <w:rFonts w:ascii="Times New Roman" w:hAnsi="Times New Roman"/>
          <w:sz w:val="24"/>
        </w:rPr>
        <w:t>Гайвинский</w:t>
      </w:r>
      <w:proofErr w:type="spellEnd"/>
      <w:r>
        <w:rPr>
          <w:rFonts w:ascii="Times New Roman" w:hAnsi="Times New Roman"/>
          <w:sz w:val="24"/>
        </w:rPr>
        <w:t xml:space="preserve"> ДИПИ), психолог ведет индивидуальную работу с клиентами в свободных помещениях (кабинетах) или в комнатах проживающих, групповые занятия проводятся в холлах (Соликамский ДИПИ), библиотеках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 и иных помещениях. В качестве примеров оборудованных кабинетов психолога можно привести </w:t>
      </w:r>
      <w:proofErr w:type="spellStart"/>
      <w:r>
        <w:rPr>
          <w:rFonts w:ascii="Times New Roman" w:hAnsi="Times New Roman"/>
          <w:sz w:val="24"/>
        </w:rPr>
        <w:t>Краснокамский</w:t>
      </w:r>
      <w:proofErr w:type="spellEnd"/>
      <w:r>
        <w:rPr>
          <w:rFonts w:ascii="Times New Roman" w:hAnsi="Times New Roman"/>
          <w:sz w:val="24"/>
        </w:rPr>
        <w:t xml:space="preserve"> ДИПИ, </w:t>
      </w:r>
      <w:proofErr w:type="spellStart"/>
      <w:r>
        <w:rPr>
          <w:rFonts w:ascii="Times New Roman" w:hAnsi="Times New Roman"/>
          <w:sz w:val="24"/>
        </w:rPr>
        <w:t>Суксунский</w:t>
      </w:r>
      <w:proofErr w:type="spellEnd"/>
      <w:r>
        <w:rPr>
          <w:rFonts w:ascii="Times New Roman" w:hAnsi="Times New Roman"/>
          <w:sz w:val="24"/>
        </w:rPr>
        <w:t xml:space="preserve"> ПНИ, Чайковский ДИПИ, Дубровский ПНИ, Марковский геронтопсихиатрический центр – филиал Чайковского ДИПИ, Пермский геронтопсихиатрический центр, </w:t>
      </w:r>
      <w:proofErr w:type="spellStart"/>
      <w:r>
        <w:rPr>
          <w:rFonts w:ascii="Times New Roman" w:hAnsi="Times New Roman"/>
          <w:sz w:val="24"/>
        </w:rPr>
        <w:t>Кучинский</w:t>
      </w:r>
      <w:proofErr w:type="spellEnd"/>
      <w:r>
        <w:rPr>
          <w:rFonts w:ascii="Times New Roman" w:hAnsi="Times New Roman"/>
          <w:sz w:val="24"/>
        </w:rPr>
        <w:t xml:space="preserve"> ДИПИ. В некоторых учреждениях имеются «многофункциональные» комнаты, в которых в зависимости от времени проводят групповые мероприятия разные специалисты, в том числе, оказываются социально-педагогические услуги.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Социально-правовые услуги оказываются специалистами по социальной работе, как правило, имеющими отдельные кабинеты или размещающимися вместе с другими специалистами социального блока: социальным работником, социальным педагогом, </w:t>
      </w:r>
      <w:r>
        <w:rPr>
          <w:rFonts w:ascii="Times New Roman" w:hAnsi="Times New Roman"/>
          <w:sz w:val="24"/>
        </w:rPr>
        <w:lastRenderedPageBreak/>
        <w:t>специалистом по реабилитации или инструктором по труду (в зависимости от специфики учреждения).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Услуги в целях повышения коммуникативного потенциала получателей услуг оказываются в залах для групповой работы или специальных залах для лечебной физкультуры, в зависимости от содержания реабилитационной программы. В ряде учреждений есть комнаты для обучения клиентов навыкам самообслуживания, формирования или сохранения их (Чайковский ДИПИ).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32"/>
        </w:rPr>
      </w:pPr>
      <w:r>
        <w:rPr>
          <w:rFonts w:ascii="Times New Roman" w:hAnsi="Times New Roman"/>
          <w:b/>
          <w:i/>
          <w:sz w:val="24"/>
        </w:rPr>
        <w:t>3.5. Показатель для анализа - доля получателей социальных услуг, оценивающих благоустройство и содержание помещения организации социального обслуживания и территории, на которой она расположена, как хорошее,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Получатели социальных услуг стационарных учреждений социального обслуживания Пермского края, в целом, высоко (как хорошее) оценивают уровень благоустройства и содержания помещений и территорий, так ответили 88% опрошенных клиентов учреждений. Плохое содержание помещений территорий отметили по одному клиенту из Коспашского филиала </w:t>
      </w:r>
      <w:proofErr w:type="spellStart"/>
      <w:r>
        <w:rPr>
          <w:rFonts w:ascii="Times New Roman" w:hAnsi="Times New Roman"/>
          <w:sz w:val="24"/>
        </w:rPr>
        <w:t>Губахинского</w:t>
      </w:r>
      <w:proofErr w:type="spellEnd"/>
      <w:r>
        <w:rPr>
          <w:rFonts w:ascii="Times New Roman" w:hAnsi="Times New Roman"/>
          <w:sz w:val="24"/>
        </w:rPr>
        <w:t xml:space="preserve"> ПНИ и </w:t>
      </w:r>
      <w:proofErr w:type="spellStart"/>
      <w:r>
        <w:rPr>
          <w:rFonts w:ascii="Times New Roman" w:hAnsi="Times New Roman"/>
          <w:sz w:val="24"/>
        </w:rPr>
        <w:t>Лысьвенского</w:t>
      </w:r>
      <w:proofErr w:type="spellEnd"/>
      <w:r>
        <w:rPr>
          <w:rFonts w:ascii="Times New Roman" w:hAnsi="Times New Roman"/>
          <w:sz w:val="24"/>
        </w:rPr>
        <w:t xml:space="preserve"> ПНИ, что, в общем, составило 0,5% от общего числа опрошенных. Средний уровень оценки благоустройства помещений и территорий учреждений отметили 11,4% опрошенных получателей социальных услуг. В большей степени удовлетворены благоустройством и содержанием помещений и территорий удовлетворены клиенты психоневрологических интернатов (91,16%), в меньшей степени – в клиенты домов-интернатов для престарелых и инвалидов (83,89%). Среди представителей разных возрастных групп наиболее критичны в оценке благоустройства помещений и территорий представители старшей возрастной группы (очевидно, проживающие в ДИПИ), менее критичны клиенты моложе 50 лет (клиенты ПНИ). Но общая доля получателей социальных услуг, довольных содержание помещений и территорий, говорит, что в настоящее время большинство учреждений соответствуют пожеланиям клиентов о комфортности, благоустроенности и надлежащем содержании.</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целом, в рейтинге по критерию комфортности учреждений и доступности оказания услуг «в лидерах» - «Пермский ГПЦ», который по большинству формальных критериев соответствует требованиям к учреждениям стационарного социального обслуживания (суммарный балл по всем критериям – 7,3), «</w:t>
      </w:r>
      <w:proofErr w:type="spellStart"/>
      <w:r>
        <w:rPr>
          <w:rFonts w:ascii="Times New Roman" w:hAnsi="Times New Roman"/>
          <w:sz w:val="24"/>
        </w:rPr>
        <w:t>Никоновский</w:t>
      </w:r>
      <w:proofErr w:type="spellEnd"/>
      <w:r>
        <w:rPr>
          <w:rFonts w:ascii="Times New Roman" w:hAnsi="Times New Roman"/>
          <w:sz w:val="24"/>
        </w:rPr>
        <w:t xml:space="preserve"> филиал» </w:t>
      </w:r>
      <w:proofErr w:type="spellStart"/>
      <w:r>
        <w:rPr>
          <w:rFonts w:ascii="Times New Roman" w:hAnsi="Times New Roman"/>
          <w:sz w:val="24"/>
        </w:rPr>
        <w:t>Губахинского</w:t>
      </w:r>
      <w:proofErr w:type="spellEnd"/>
      <w:r>
        <w:rPr>
          <w:rFonts w:ascii="Times New Roman" w:hAnsi="Times New Roman"/>
          <w:sz w:val="24"/>
        </w:rPr>
        <w:t xml:space="preserve"> ПНИ (6,8), «</w:t>
      </w:r>
      <w:proofErr w:type="spellStart"/>
      <w:r>
        <w:rPr>
          <w:rFonts w:ascii="Times New Roman" w:hAnsi="Times New Roman"/>
          <w:sz w:val="24"/>
        </w:rPr>
        <w:t>Суксунский</w:t>
      </w:r>
      <w:proofErr w:type="spellEnd"/>
      <w:r>
        <w:rPr>
          <w:rFonts w:ascii="Times New Roman" w:hAnsi="Times New Roman"/>
          <w:sz w:val="24"/>
        </w:rPr>
        <w:t xml:space="preserve"> ПНИ»  - филиал «Озерского ПНИ» (6,5),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 «Чайковский ДИПИ» и «</w:t>
      </w:r>
      <w:proofErr w:type="spellStart"/>
      <w:r>
        <w:rPr>
          <w:rFonts w:ascii="Times New Roman" w:hAnsi="Times New Roman"/>
          <w:sz w:val="24"/>
        </w:rPr>
        <w:t>Березниковский</w:t>
      </w:r>
      <w:proofErr w:type="spellEnd"/>
      <w:r>
        <w:rPr>
          <w:rFonts w:ascii="Times New Roman" w:hAnsi="Times New Roman"/>
          <w:sz w:val="24"/>
        </w:rPr>
        <w:t xml:space="preserve"> филиал </w:t>
      </w:r>
      <w:r>
        <w:rPr>
          <w:rFonts w:ascii="Times New Roman" w:hAnsi="Times New Roman"/>
          <w:sz w:val="24"/>
        </w:rPr>
        <w:lastRenderedPageBreak/>
        <w:t>Соликамского ДИПИ» (6,4), «</w:t>
      </w:r>
      <w:proofErr w:type="spellStart"/>
      <w:r>
        <w:rPr>
          <w:rFonts w:ascii="Times New Roman" w:hAnsi="Times New Roman"/>
          <w:sz w:val="24"/>
        </w:rPr>
        <w:t>Култаевский</w:t>
      </w:r>
      <w:proofErr w:type="spellEnd"/>
      <w:r>
        <w:rPr>
          <w:rFonts w:ascii="Times New Roman" w:hAnsi="Times New Roman"/>
          <w:sz w:val="24"/>
        </w:rPr>
        <w:t xml:space="preserve"> ДИПИ» (6,3), «Александровский филиал </w:t>
      </w:r>
      <w:proofErr w:type="spellStart"/>
      <w:r>
        <w:rPr>
          <w:rFonts w:ascii="Times New Roman" w:hAnsi="Times New Roman"/>
          <w:sz w:val="24"/>
        </w:rPr>
        <w:t>Губахинского</w:t>
      </w:r>
      <w:proofErr w:type="spellEnd"/>
      <w:r>
        <w:rPr>
          <w:rFonts w:ascii="Times New Roman" w:hAnsi="Times New Roman"/>
          <w:sz w:val="24"/>
        </w:rPr>
        <w:t xml:space="preserve"> ПНИ» и «Марковский ГПЦ» (6,2).</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По итогам независимой оценки можно рекомендовать учреждениям продолжить работу по приведению учреждений в соответствие с требованиями стандартов для учреждений стационарного социального обслуживания населения, требованиями доступности среды. Рекомендуем при оборудовании учреждений различными приспособлениями учитывать специфику проживающих в учреждении клиентов и их потребности (стулья или скамейки в ванных комнатах, поручни, перила и т.д.).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left="284"/>
        <w:jc w:val="center"/>
        <w:rPr>
          <w:rFonts w:ascii="Times New Roman" w:hAnsi="Times New Roman"/>
          <w:b/>
          <w:sz w:val="24"/>
        </w:rPr>
      </w:pPr>
      <w:r>
        <w:rPr>
          <w:rFonts w:ascii="Times New Roman" w:hAnsi="Times New Roman"/>
          <w:b/>
          <w:sz w:val="24"/>
        </w:rPr>
        <w:t>4. Оценка доброжелательности, вежливости, компетентности работников организаций социального обслуживания</w:t>
      </w:r>
    </w:p>
    <w:p w:rsidR="00E05EFB" w:rsidRDefault="00E05EFB">
      <w:pPr>
        <w:ind w:left="720"/>
        <w:rPr>
          <w:rFonts w:ascii="Times New Roman" w:hAnsi="Times New Roman"/>
          <w:b/>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4.1. Показатель для анализа: доля получателей социальных услуг (либо их родственников), которые высоко оценивают доброжелательность, вежливость и внимательность работников организации социального обслуживания,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Данный показатель оценивался на основе анкетного опроса получателей услуг стационарных социальных учреждений, 85% которых отметили высокий уровень доброжелательности, вежливости и внимательности работников. Здесь надо отметить, что больше всего доброжелательное отношение отмечают молодые клиенты, меньше – клиенты старших возрастных групп. Скорее всего, это объясняется возрастными особенностями людей  пожилого возраста, их повышенной чувствительностью, эмоциональностью, требовательностью к внимательности со стороны других.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Клиенты ПНИ и ДИПИ практически одинаково, на высоком уровне, оценивают доброжелательность, внимательность и вежливость сотрудников, 88% и 82% соответственно.</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Интересно, что получатели социальных услуг, не имеющие группы инвалидности, более критичны и требовательны к обращению сотрудников, именно среди представителей данной социальной группы почти четверть оценивают доброжелательность, внимательность и вежливость сотрудников средней оценкой и только три четверти высоко. Среди клиентов, имеющих группу инвалидности, инвалиды 1 группы менее довольны обращением сотрудников (77% оценивают уровень доброжелательности, внимательности и вежливости сотрудников как высокий), более довольны – инвалиды 3 группы (92% оценивают уровень доброжелательности, внимательности и вежливости сотрудников как высокий).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Беседы экспертов с руководителями учреждений  и филиалов учреждений показали, что, несмотря на то, что ряд учреждений испытывает трудности с подбором кадров, администрация большинства учреждений ведет контроль отношения персонала к клиентам. В качестве примера можно привести эксперимент Дубровского ПНИ по реализации технологии наставничества и содействия адаптации персонала к работе в условиях ПНИ и ДИПИ. Хорошие результаты по профилактике и регулированию конфликтов между сотрудниками  и клиентами дает деятельность конфликтных комиссий, которые работают в большинстве учреждений, в состав которых входят как специалисты учреждений, так и сами клиенты, внедрение элементов медиации в учреждениях.</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40"/>
        </w:rPr>
      </w:pPr>
      <w:r>
        <w:rPr>
          <w:rFonts w:ascii="Times New Roman" w:hAnsi="Times New Roman"/>
          <w:b/>
          <w:i/>
          <w:sz w:val="24"/>
        </w:rPr>
        <w:t>4.2. Показатель для анализа: доля получателей социальных услуг, которые высоко оценивают компетентность работников организации социального обслуживания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Вопрос оценки уровня компетентности кадров клиентами достаточно сложный. В процессе беседы с клиентами экспертов интересовала способность специалистов учреждений грамотно, понятно и доступно отвечать клиентам учреждений на поставленные вопросы и разъяснять необходимую информацию, способность быстро и оперативно решать проблемы клиента. Оценка компетентности специалистов клиентами, безусловно, очень субъективна, что связано с уровнем умственных и интеллектуальных способностей клиентов, наличием у них психических расстройств, обусловленных возрастными изменениями или заболеванием человека.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При этом результаты экспертизы показали, что 85% опрошенных получателей социальных услуг оценивают уровень компетентности работников, как высокий, 12,5% – как средний и только 2% - как низкий. При этом чем старше клиенты – тем более критичны они к уровню компетентности сотрудников. Клиенты ДИПИ оценивают уровень компетентности сотрудников ниже, чем клиенты ПНИ.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Среди учреждений наиболее низко оценивают уровень компетентности сотрудников в </w:t>
      </w:r>
      <w:proofErr w:type="spellStart"/>
      <w:r>
        <w:rPr>
          <w:rFonts w:ascii="Times New Roman" w:hAnsi="Times New Roman"/>
          <w:sz w:val="24"/>
        </w:rPr>
        <w:t>Кудымкарском</w:t>
      </w:r>
      <w:proofErr w:type="spellEnd"/>
      <w:r>
        <w:rPr>
          <w:rFonts w:ascii="Times New Roman" w:hAnsi="Times New Roman"/>
          <w:sz w:val="24"/>
        </w:rPr>
        <w:t xml:space="preserve"> ДИПИ: 21% опрошенных клиентов оценили его как низкий, 32% - как средний и только 47% - как высокий. Не так низко, но, тем не менее, и не высоко (как средний) оценивают уровень компетентности сотрудников  значительная часть опрошенных клиентов </w:t>
      </w:r>
      <w:proofErr w:type="spellStart"/>
      <w:r>
        <w:rPr>
          <w:rFonts w:ascii="Times New Roman" w:hAnsi="Times New Roman"/>
          <w:sz w:val="24"/>
        </w:rPr>
        <w:t>Тулумбаихинского</w:t>
      </w:r>
      <w:proofErr w:type="spellEnd"/>
      <w:r>
        <w:rPr>
          <w:rFonts w:ascii="Times New Roman" w:hAnsi="Times New Roman"/>
          <w:sz w:val="24"/>
        </w:rPr>
        <w:t xml:space="preserve"> отделения Дубровского ПНИ (50%), Верхне-</w:t>
      </w:r>
      <w:proofErr w:type="spellStart"/>
      <w:r>
        <w:rPr>
          <w:rFonts w:ascii="Times New Roman" w:hAnsi="Times New Roman"/>
          <w:sz w:val="24"/>
        </w:rPr>
        <w:t>Городковского</w:t>
      </w:r>
      <w:proofErr w:type="spellEnd"/>
      <w:r>
        <w:rPr>
          <w:rFonts w:ascii="Times New Roman" w:hAnsi="Times New Roman"/>
          <w:sz w:val="24"/>
        </w:rPr>
        <w:t xml:space="preserve"> ПНИ (44%), </w:t>
      </w:r>
      <w:proofErr w:type="spellStart"/>
      <w:r>
        <w:rPr>
          <w:rFonts w:ascii="Times New Roman" w:hAnsi="Times New Roman"/>
          <w:sz w:val="24"/>
        </w:rPr>
        <w:t>Оханского</w:t>
      </w:r>
      <w:proofErr w:type="spellEnd"/>
      <w:r>
        <w:rPr>
          <w:rFonts w:ascii="Times New Roman" w:hAnsi="Times New Roman"/>
          <w:sz w:val="24"/>
        </w:rPr>
        <w:t xml:space="preserve"> ДИПИ (33%), </w:t>
      </w:r>
      <w:proofErr w:type="spellStart"/>
      <w:r>
        <w:rPr>
          <w:rFonts w:ascii="Times New Roman" w:hAnsi="Times New Roman"/>
          <w:sz w:val="24"/>
        </w:rPr>
        <w:t>Кудымкарского</w:t>
      </w:r>
      <w:proofErr w:type="spellEnd"/>
      <w:r>
        <w:rPr>
          <w:rFonts w:ascii="Times New Roman" w:hAnsi="Times New Roman"/>
          <w:sz w:val="24"/>
        </w:rPr>
        <w:t xml:space="preserve"> ДИПИ (32%), и Марковского ГПЦ – филиала Чайковского ДИПИ (31%).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Надо отметить, что зачастую клиенты не осознают, что, например, организация культурно-массовых мероприятий, индивидуальные или групповые занятия психологов, </w:t>
      </w:r>
      <w:r>
        <w:rPr>
          <w:rFonts w:ascii="Times New Roman" w:hAnsi="Times New Roman"/>
          <w:sz w:val="24"/>
        </w:rPr>
        <w:lastRenderedPageBreak/>
        <w:t>консультации по различным вопросам и оформление соответствующих документов специалистами по социальной работе – это тоже услуги, поэтому клиенты могут и недооценивать специалистов. И оценка компетентности, скорее всего, это оценка деятельности медицинского персонала и администрации учреждения.</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4.3. Показатель для анализа: кадровый потенциал специалистов «социального блока» учреждений.</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С 2015 года в практику деятельности учреждений социального обслуживания введены профессиональные стандарты, предполагающие определенные требования к уровню, содержанию и специализации образования, имеющегося у специалистов, осуществляющих функции по социальной работе и оказывающих иные социальные услуги в учреждении. Так, для руководителя социальной службы в соответствии с профессиональным стандартом требуемое образование – профильное, уровнем не ниже магистратуры. Для специалиста по социальной работе требование к образованию (в соответствии с профессиональным стандартом) - высшее  (</w:t>
      </w:r>
      <w:proofErr w:type="spellStart"/>
      <w:r>
        <w:rPr>
          <w:rFonts w:ascii="Times New Roman" w:hAnsi="Times New Roman"/>
          <w:sz w:val="24"/>
        </w:rPr>
        <w:t>бакалавриат</w:t>
      </w:r>
      <w:proofErr w:type="spellEnd"/>
      <w:r>
        <w:rPr>
          <w:rFonts w:ascii="Times New Roman" w:hAnsi="Times New Roman"/>
          <w:sz w:val="24"/>
        </w:rPr>
        <w:t xml:space="preserve">, </w:t>
      </w:r>
      <w:proofErr w:type="spellStart"/>
      <w:r>
        <w:rPr>
          <w:rFonts w:ascii="Times New Roman" w:hAnsi="Times New Roman"/>
          <w:sz w:val="24"/>
        </w:rPr>
        <w:t>специалитет</w:t>
      </w:r>
      <w:proofErr w:type="spellEnd"/>
      <w:r>
        <w:rPr>
          <w:rFonts w:ascii="Times New Roman" w:hAnsi="Times New Roman"/>
          <w:sz w:val="24"/>
        </w:rPr>
        <w:t xml:space="preserve">) или среднее профессиональное образование либо профессиональная переподготовка в соответствии с профилем деятельности. анализ уровня и содержания образования специалистов, работающих на должности специалиста по социальной работе, показал, что в большинстве учреждений эти требования выполняются. Так, специалисты по социальной работе – это люди с высшим или средним профессиональным образованием по специальности/профилю «специалист по социальной работе», «психология и педагогика», «юриспруденция». Надо отметить, что специалистов с образованием по социальной работе меньшинство, но есть специалисты, получающие профильное образование по социальной работе в настоящее время. В соответствии с функциями и содержанием оказываемых клиентам социальных услуг специалисты по социальной работе действительно должны обладать правовыми, педагогическими, экономическими, психологическими, медицинскими знаниями, но обязательно должны знать и понимать специфику социальной работы как деятельности и ее особенности в системе ПНИ и ДИПИ. В связи с этим хотелось бы порекомендовать учреждениям больше внимания уделять повышению квалификации специалистов по социальной работе. Специалисты-психологи 100% имеют высшее психологическое образование, воспитатели – высшее или среднее профессиональное педагогическое образование. Специалисты по реабилитации, новая должность в системе стационарного социального обслуживания, в настоящее время занята, в основном, психологами. Социальные работники в учреждениях – это люди, как правило, со средним профессиональным медицинским и педагогическим образованием. </w:t>
      </w:r>
      <w:r>
        <w:rPr>
          <w:rFonts w:ascii="Times New Roman" w:hAnsi="Times New Roman"/>
          <w:sz w:val="24"/>
        </w:rPr>
        <w:lastRenderedPageBreak/>
        <w:t>Инструкторы по труду, как правило, люди с начальным или средним профессиональным образованием в области рабочих профессий, сельского хозяйства.</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целом, кадровая политика учреждений направлена на профессиональный кадровый подбор, но из-за специфики размещения учреждений в ряде территорий кадровые проблемы в учреждениях испытывают.</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В качестве рекомендации по данному блоку можно высказать следующие:</w:t>
      </w:r>
    </w:p>
    <w:p w:rsidR="00E05EFB" w:rsidRDefault="00E05EFB">
      <w:pPr>
        <w:numPr>
          <w:ilvl w:val="0"/>
          <w:numId w:val="9"/>
        </w:numPr>
        <w:spacing w:after="0" w:line="360" w:lineRule="auto"/>
        <w:ind w:left="924" w:hanging="360"/>
        <w:jc w:val="both"/>
        <w:rPr>
          <w:rFonts w:ascii="Times New Roman" w:hAnsi="Times New Roman"/>
          <w:sz w:val="24"/>
        </w:rPr>
      </w:pPr>
      <w:r>
        <w:rPr>
          <w:rFonts w:ascii="Times New Roman" w:hAnsi="Times New Roman"/>
          <w:sz w:val="24"/>
        </w:rPr>
        <w:t>Проведение постоянных обучающих мероприятий для специалистов всех уровней и всех специальностей для повышения квалификации в сфере профессиональной деятельности.</w:t>
      </w:r>
    </w:p>
    <w:p w:rsidR="00E05EFB" w:rsidRDefault="00E05EFB">
      <w:pPr>
        <w:numPr>
          <w:ilvl w:val="0"/>
          <w:numId w:val="9"/>
        </w:numPr>
        <w:spacing w:after="0" w:line="360" w:lineRule="auto"/>
        <w:ind w:left="924" w:hanging="360"/>
        <w:jc w:val="both"/>
        <w:rPr>
          <w:rFonts w:ascii="Times New Roman" w:hAnsi="Times New Roman"/>
          <w:sz w:val="24"/>
        </w:rPr>
      </w:pPr>
      <w:r>
        <w:rPr>
          <w:rFonts w:ascii="Times New Roman" w:hAnsi="Times New Roman"/>
          <w:sz w:val="24"/>
        </w:rPr>
        <w:t>Помощь в адаптации «новичкам» (возможно, система «наставничества») для облегчения понимания специфики учреждений, клиентов учреждений, а также для понимания всеми специалистами необходимости соблюдения прав человека, соблюдения законодательства о социальном обслуживании и требований профессиональных стандартов («Руководитель организации социального обслуживания», «Специалист по социальной работе», «Социальный работник», «Специалист по реабилитационной работе в социальной сфере» и др., утвержденных приказами Минтруда России еще в 2013 году), а также соблюдения «Кодекса этики и служебного поведения работников органов управления социальной защиты населения и учреждений социального обслуживания», утв.  Приказом Минтруда России №792 от 31 декабря 2013 г.</w:t>
      </w:r>
    </w:p>
    <w:p w:rsidR="00E05EFB" w:rsidRDefault="00E05EFB">
      <w:pPr>
        <w:numPr>
          <w:ilvl w:val="0"/>
          <w:numId w:val="9"/>
        </w:numPr>
        <w:spacing w:after="0" w:line="360" w:lineRule="auto"/>
        <w:ind w:left="924" w:hanging="360"/>
        <w:jc w:val="both"/>
        <w:rPr>
          <w:rFonts w:ascii="Times New Roman" w:hAnsi="Times New Roman"/>
          <w:sz w:val="24"/>
        </w:rPr>
      </w:pPr>
      <w:r>
        <w:rPr>
          <w:rFonts w:ascii="Times New Roman" w:hAnsi="Times New Roman"/>
          <w:sz w:val="24"/>
        </w:rPr>
        <w:t xml:space="preserve">Внедрение технологии </w:t>
      </w:r>
      <w:proofErr w:type="spellStart"/>
      <w:r>
        <w:rPr>
          <w:rFonts w:ascii="Times New Roman" w:hAnsi="Times New Roman"/>
          <w:sz w:val="24"/>
        </w:rPr>
        <w:t>супервизии</w:t>
      </w:r>
      <w:proofErr w:type="spellEnd"/>
      <w:r>
        <w:rPr>
          <w:rFonts w:ascii="Times New Roman" w:hAnsi="Times New Roman"/>
          <w:sz w:val="24"/>
        </w:rPr>
        <w:t xml:space="preserve"> в деятельности учреждений стационарного социального обслуживания для работы со «сложными случаями», предупреждении профессионального выгорания сотрудников учреждений.</w:t>
      </w:r>
    </w:p>
    <w:p w:rsidR="00E05EFB" w:rsidRDefault="00E05EFB">
      <w:pPr>
        <w:numPr>
          <w:ilvl w:val="0"/>
          <w:numId w:val="9"/>
        </w:numPr>
        <w:spacing w:after="0" w:line="360" w:lineRule="auto"/>
        <w:ind w:left="924" w:hanging="360"/>
        <w:jc w:val="both"/>
        <w:rPr>
          <w:rFonts w:ascii="Times New Roman" w:hAnsi="Times New Roman"/>
          <w:sz w:val="24"/>
        </w:rPr>
      </w:pPr>
      <w:r>
        <w:rPr>
          <w:rFonts w:ascii="Times New Roman" w:hAnsi="Times New Roman"/>
          <w:sz w:val="24"/>
        </w:rPr>
        <w:t xml:space="preserve">Организацию тематических </w:t>
      </w:r>
      <w:proofErr w:type="spellStart"/>
      <w:r>
        <w:rPr>
          <w:rFonts w:ascii="Times New Roman" w:hAnsi="Times New Roman"/>
          <w:sz w:val="24"/>
        </w:rPr>
        <w:t>обучающе</w:t>
      </w:r>
      <w:proofErr w:type="spellEnd"/>
      <w:r>
        <w:rPr>
          <w:rFonts w:ascii="Times New Roman" w:hAnsi="Times New Roman"/>
          <w:sz w:val="24"/>
        </w:rPr>
        <w:t>-информационных мероприятий и мероприятий по обмену опытом для специалистов различного профиля учреждений (психологов, инструкторов по труду, специалистов по социальной работе, специалистов по реабилитации и т.д.).</w:t>
      </w:r>
    </w:p>
    <w:p w:rsidR="00E05EFB" w:rsidRDefault="00E05EFB">
      <w:pPr>
        <w:numPr>
          <w:ilvl w:val="0"/>
          <w:numId w:val="9"/>
        </w:numPr>
        <w:spacing w:after="0" w:line="360" w:lineRule="auto"/>
        <w:ind w:left="924" w:hanging="360"/>
        <w:jc w:val="both"/>
        <w:rPr>
          <w:rFonts w:ascii="Times New Roman" w:hAnsi="Times New Roman"/>
          <w:sz w:val="24"/>
        </w:rPr>
      </w:pPr>
      <w:r>
        <w:rPr>
          <w:rFonts w:ascii="Times New Roman" w:hAnsi="Times New Roman"/>
          <w:sz w:val="24"/>
        </w:rPr>
        <w:t>Мониторинг оценки деятельности специалистов клиентами с помощью различных методов.</w:t>
      </w:r>
    </w:p>
    <w:p w:rsidR="00E05EFB" w:rsidRDefault="00E05EFB">
      <w:pPr>
        <w:spacing w:after="0" w:line="360" w:lineRule="auto"/>
        <w:ind w:firstLine="567"/>
        <w:jc w:val="both"/>
        <w:rPr>
          <w:rFonts w:ascii="Times New Roman" w:hAnsi="Times New Roman"/>
          <w:sz w:val="24"/>
        </w:rPr>
      </w:pPr>
    </w:p>
    <w:p w:rsidR="00E05EFB" w:rsidRPr="001E6F1F" w:rsidRDefault="00E05EFB" w:rsidP="001E6F1F">
      <w:pPr>
        <w:pStyle w:val="a3"/>
        <w:numPr>
          <w:ilvl w:val="0"/>
          <w:numId w:val="12"/>
        </w:numPr>
        <w:spacing w:after="0" w:line="360" w:lineRule="auto"/>
        <w:rPr>
          <w:rFonts w:ascii="Times New Roman" w:hAnsi="Times New Roman"/>
          <w:b/>
          <w:sz w:val="24"/>
        </w:rPr>
      </w:pPr>
      <w:r w:rsidRPr="001E6F1F">
        <w:rPr>
          <w:rFonts w:ascii="Times New Roman" w:hAnsi="Times New Roman"/>
          <w:b/>
          <w:sz w:val="24"/>
        </w:rPr>
        <w:t>Оценка удовлетворенности качеством оказания услуг</w:t>
      </w:r>
    </w:p>
    <w:p w:rsidR="00E05EFB" w:rsidRDefault="00E05EFB">
      <w:pPr>
        <w:spacing w:after="0" w:line="360" w:lineRule="auto"/>
        <w:ind w:left="1287"/>
        <w:rPr>
          <w:rFonts w:ascii="Times New Roman" w:hAnsi="Times New Roman"/>
          <w:b/>
          <w:sz w:val="24"/>
        </w:rPr>
      </w:pPr>
    </w:p>
    <w:p w:rsidR="00E05EFB" w:rsidRDefault="00E05EFB">
      <w:pPr>
        <w:spacing w:after="0" w:line="360" w:lineRule="auto"/>
        <w:ind w:firstLine="567"/>
        <w:jc w:val="both"/>
        <w:rPr>
          <w:rFonts w:ascii="Times New Roman" w:hAnsi="Times New Roman"/>
          <w:b/>
          <w:i/>
          <w:sz w:val="32"/>
        </w:rPr>
      </w:pPr>
      <w:r>
        <w:rPr>
          <w:rFonts w:ascii="Times New Roman" w:hAnsi="Times New Roman"/>
          <w:b/>
          <w:i/>
          <w:sz w:val="24"/>
        </w:rPr>
        <w:t>5.1. Показатель для оценки: доля получателей социальных услуг, которые положительно оценивают изменение качества жизни в результате получения социальных услуг в организации социального обслуживания, от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lastRenderedPageBreak/>
        <w:t xml:space="preserve">Почти 80% опрошенных получателей социальных услуг отметили, что качество их жизни в результате получения социальных услуг в данном учреждении, улучшилось, 16% клиентов сказали, что осталось без изменений, 4,2%  - что ухудшилось. Такая оценка клиентами своего состояния связана с различными факторами. Клиенты ДИПИ, проживавшие ранее в собственных благоустроенных квартирах с родственниками и супругами, как правило, говорят, что им в учреждении хуже, чем было дома. Клиенты, прибывшие из Центра социальной адаптации, освободившиеся из мест лишения свободы или проживавшие ранее в других учреждениях (ПНИ или ДИПИ), как правило, говорят, что качество жизни улучшилось. Особенно отмечают улучшение качества жизни клиенты, проживавшие ранее в сельской местности в частных домах с печным отоплением и без удобств.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Клиенты ДИПИ, лица, старше 70 лет и инвалиды 1 группы в меньшей степени отмечают улучшение качества жизни, говоря об отсутствии изменений или, наоборот, ухудшении качества жизни. Пессимистично настроены и клиенты ДИПИ, длительно проживающие в стационарных социальных учреждениях. Они, как правило, говорят, что для них улучшений уже не может быть.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Среди клиентов ПНИ улучшение качества жизни отметили 100% опрошенных клиентов в «Казанском», «</w:t>
      </w:r>
      <w:proofErr w:type="spellStart"/>
      <w:r>
        <w:rPr>
          <w:rFonts w:ascii="Times New Roman" w:hAnsi="Times New Roman"/>
          <w:sz w:val="24"/>
        </w:rPr>
        <w:t>Тулумбаихинском</w:t>
      </w:r>
      <w:proofErr w:type="spellEnd"/>
      <w:r>
        <w:rPr>
          <w:rFonts w:ascii="Times New Roman" w:hAnsi="Times New Roman"/>
          <w:sz w:val="24"/>
        </w:rPr>
        <w:t xml:space="preserve">» и «Садовом» отделениях  «Дубровского ПНИ» и самом «Дубровском ПНИ»,  </w:t>
      </w:r>
      <w:r>
        <w:rPr>
          <w:rFonts w:ascii="Times New Roman" w:hAnsi="Times New Roman"/>
          <w:spacing w:val="1"/>
          <w:sz w:val="24"/>
          <w:shd w:val="clear" w:color="auto" w:fill="FFFFFF"/>
        </w:rPr>
        <w:t xml:space="preserve"> «</w:t>
      </w:r>
      <w:proofErr w:type="spellStart"/>
      <w:r>
        <w:rPr>
          <w:rFonts w:ascii="Times New Roman" w:hAnsi="Times New Roman"/>
          <w:spacing w:val="1"/>
          <w:sz w:val="24"/>
          <w:shd w:val="clear" w:color="auto" w:fill="FFFFFF"/>
        </w:rPr>
        <w:t>Кизеловском</w:t>
      </w:r>
      <w:proofErr w:type="spellEnd"/>
      <w:r>
        <w:rPr>
          <w:rFonts w:ascii="Times New Roman" w:hAnsi="Times New Roman"/>
          <w:spacing w:val="1"/>
          <w:sz w:val="24"/>
          <w:shd w:val="clear" w:color="auto" w:fill="FFFFFF"/>
        </w:rPr>
        <w:t xml:space="preserve"> ПНИ», «</w:t>
      </w:r>
      <w:proofErr w:type="spellStart"/>
      <w:r>
        <w:rPr>
          <w:rFonts w:ascii="Times New Roman" w:hAnsi="Times New Roman"/>
          <w:spacing w:val="1"/>
          <w:sz w:val="24"/>
          <w:shd w:val="clear" w:color="auto" w:fill="FFFFFF"/>
        </w:rPr>
        <w:t>Пальниковском</w:t>
      </w:r>
      <w:proofErr w:type="spellEnd"/>
      <w:r>
        <w:rPr>
          <w:rFonts w:ascii="Times New Roman" w:hAnsi="Times New Roman"/>
          <w:spacing w:val="1"/>
          <w:sz w:val="24"/>
          <w:shd w:val="clear" w:color="auto" w:fill="FFFFFF"/>
        </w:rPr>
        <w:t xml:space="preserve"> ПНИ», «Александровском филиале </w:t>
      </w:r>
      <w:proofErr w:type="spellStart"/>
      <w:r>
        <w:rPr>
          <w:rFonts w:ascii="Times New Roman" w:hAnsi="Times New Roman"/>
          <w:spacing w:val="1"/>
          <w:sz w:val="24"/>
          <w:shd w:val="clear" w:color="auto" w:fill="FFFFFF"/>
        </w:rPr>
        <w:t>Губахинского</w:t>
      </w:r>
      <w:proofErr w:type="spellEnd"/>
      <w:r>
        <w:rPr>
          <w:rFonts w:ascii="Times New Roman" w:hAnsi="Times New Roman"/>
          <w:spacing w:val="1"/>
          <w:sz w:val="24"/>
          <w:shd w:val="clear" w:color="auto" w:fill="FFFFFF"/>
        </w:rPr>
        <w:t xml:space="preserve"> ПНИ»; среди ДИПИ – «</w:t>
      </w:r>
      <w:proofErr w:type="spellStart"/>
      <w:r>
        <w:rPr>
          <w:rFonts w:ascii="Times New Roman" w:hAnsi="Times New Roman"/>
          <w:spacing w:val="1"/>
          <w:sz w:val="24"/>
          <w:shd w:val="clear" w:color="auto" w:fill="FFFFFF"/>
        </w:rPr>
        <w:t>Пелымском</w:t>
      </w:r>
      <w:proofErr w:type="spellEnd"/>
      <w:r>
        <w:rPr>
          <w:rFonts w:ascii="Times New Roman" w:hAnsi="Times New Roman"/>
          <w:spacing w:val="1"/>
          <w:sz w:val="24"/>
          <w:shd w:val="clear" w:color="auto" w:fill="FFFFFF"/>
        </w:rPr>
        <w:t xml:space="preserve"> филиале </w:t>
      </w:r>
      <w:proofErr w:type="spellStart"/>
      <w:r>
        <w:rPr>
          <w:rFonts w:ascii="Times New Roman" w:hAnsi="Times New Roman"/>
          <w:spacing w:val="1"/>
          <w:sz w:val="24"/>
          <w:shd w:val="clear" w:color="auto" w:fill="FFFFFF"/>
        </w:rPr>
        <w:t>Кудымкарского</w:t>
      </w:r>
      <w:proofErr w:type="spellEnd"/>
      <w:r>
        <w:rPr>
          <w:rFonts w:ascii="Times New Roman" w:hAnsi="Times New Roman"/>
          <w:spacing w:val="1"/>
          <w:sz w:val="24"/>
          <w:shd w:val="clear" w:color="auto" w:fill="FFFFFF"/>
        </w:rPr>
        <w:t xml:space="preserve"> ДИПИ», «Соликамском ДИПИ» и «Оханском ДИПИ» (как правило, это клиенты, проживавшие до поступления в учреждение в условиях сельской местности в удаленных местностях, одинокие, находившиеся в трудной жизненной ситуации и не способные к самообслуживанию). </w:t>
      </w:r>
    </w:p>
    <w:p w:rsidR="00E05EFB" w:rsidRDefault="00E05EFB">
      <w:pPr>
        <w:spacing w:after="0" w:line="360" w:lineRule="auto"/>
        <w:ind w:left="1287"/>
        <w:rPr>
          <w:rFonts w:ascii="Times New Roman" w:hAnsi="Times New Roman"/>
          <w:b/>
          <w:sz w:val="24"/>
        </w:rPr>
      </w:pPr>
    </w:p>
    <w:p w:rsidR="00E05EFB" w:rsidRDefault="00E05EFB">
      <w:pPr>
        <w:spacing w:after="0" w:line="360" w:lineRule="auto"/>
        <w:ind w:left="284"/>
        <w:jc w:val="both"/>
        <w:rPr>
          <w:rFonts w:ascii="Times New Roman" w:hAnsi="Times New Roman"/>
          <w:b/>
          <w:i/>
          <w:sz w:val="24"/>
        </w:rPr>
      </w:pPr>
      <w:r>
        <w:rPr>
          <w:rFonts w:ascii="Times New Roman" w:hAnsi="Times New Roman"/>
          <w:b/>
          <w:i/>
          <w:sz w:val="24"/>
        </w:rPr>
        <w:t>5.2. Показатель для анализа: доля получателей социальных услуг, удовлетворенных условиями предоставления социальных услуг, от числа опрошенных</w:t>
      </w:r>
    </w:p>
    <w:p w:rsidR="00E05EFB" w:rsidRDefault="00E05EFB">
      <w:pPr>
        <w:spacing w:after="0" w:line="360" w:lineRule="auto"/>
        <w:ind w:firstLine="567"/>
        <w:jc w:val="both"/>
        <w:rPr>
          <w:rFonts w:ascii="Times New Roman" w:hAnsi="Times New Roman"/>
          <w:spacing w:val="1"/>
          <w:sz w:val="24"/>
          <w:shd w:val="clear" w:color="auto" w:fill="FFFFFF"/>
        </w:rPr>
      </w:pPr>
      <w:r>
        <w:rPr>
          <w:rFonts w:ascii="Times New Roman" w:hAnsi="Times New Roman"/>
          <w:spacing w:val="1"/>
          <w:sz w:val="24"/>
          <w:shd w:val="clear" w:color="auto" w:fill="FFFFFF"/>
        </w:rPr>
        <w:t>Данный показатель оценивался с помощью анкетного опроса клиентов. Так, в наибольшей степени клиенты стационарных социальных учреждений удовлетворены социально-бытовыми, парикмахерскими и гигиеническими услугами (93%), санитарным содержанием санитарно-технического оборудования (92%), мебелью и мягким инвентарем (91%), предоставляемым им жилым помещением и услугой по хранению личных вещей (по 90% опрошенных соответственно). В меньшей степени клиенты удовлетворены питанием (только 68% питание нравится). В остальном, более 80% клиентов ответили, что предоставляемые услуги им нравятся. При этом клиенты домов-</w:t>
      </w:r>
      <w:r>
        <w:rPr>
          <w:rFonts w:ascii="Times New Roman" w:hAnsi="Times New Roman"/>
          <w:spacing w:val="1"/>
          <w:sz w:val="24"/>
          <w:shd w:val="clear" w:color="auto" w:fill="FFFFFF"/>
        </w:rPr>
        <w:lastRenderedPageBreak/>
        <w:t>интернатов для престарелых и инвалидов более критичны и требовательны к предоставляемым услугам, чем клиенты ПНИ. Представим анализ удовлетворенности клиентов основными социальными услугами.</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а) </w:t>
      </w:r>
      <w:r>
        <w:rPr>
          <w:rFonts w:ascii="Times New Roman" w:hAnsi="Times New Roman"/>
          <w:i/>
          <w:sz w:val="24"/>
        </w:rPr>
        <w:t>Показатель для анализа: доля получателей социальных услуг, удовлетворенных жилым помещением.</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Жилым помещением удовлетворены практически все получатели социальных услуг, опрошенные экспертами, в равной степени – клиенты ПНИ и ДИПИ. Как ни странно – больший процент клиентов, не удовлетворенных жилым помещением, в </w:t>
      </w:r>
      <w:proofErr w:type="spellStart"/>
      <w:r>
        <w:rPr>
          <w:rFonts w:ascii="Times New Roman" w:hAnsi="Times New Roman"/>
          <w:sz w:val="24"/>
        </w:rPr>
        <w:t>Култаевском</w:t>
      </w:r>
      <w:proofErr w:type="spellEnd"/>
      <w:r>
        <w:rPr>
          <w:rFonts w:ascii="Times New Roman" w:hAnsi="Times New Roman"/>
          <w:sz w:val="24"/>
        </w:rPr>
        <w:t xml:space="preserve"> ДИПИ (42,86%). Возможно, это связано большим количеством клиентов, проживающих по договору, «платных» клиентов, которые до переезда в учреждение проживали в более комфортных домашних условиях. В остальном, клиенты большинства учреждений довольны предоставляемым им жилым помещением – в 25 учреждениях 100% опрошенных клиентов удовлетворены жилым помещением.</w:t>
      </w:r>
    </w:p>
    <w:p w:rsidR="00E05EFB" w:rsidRDefault="00E05EFB">
      <w:pPr>
        <w:spacing w:after="0" w:line="360" w:lineRule="auto"/>
        <w:ind w:firstLine="567"/>
        <w:jc w:val="both"/>
        <w:rPr>
          <w:rFonts w:ascii="Times New Roman" w:hAnsi="Times New Roman"/>
          <w:i/>
          <w:sz w:val="24"/>
        </w:rPr>
      </w:pPr>
      <w:r>
        <w:rPr>
          <w:rFonts w:ascii="Times New Roman" w:hAnsi="Times New Roman"/>
          <w:sz w:val="24"/>
        </w:rPr>
        <w:t xml:space="preserve"> </w:t>
      </w:r>
      <w:r>
        <w:rPr>
          <w:rFonts w:ascii="Times New Roman" w:hAnsi="Times New Roman"/>
          <w:spacing w:val="1"/>
          <w:sz w:val="24"/>
          <w:shd w:val="clear" w:color="auto" w:fill="FFFFFF"/>
        </w:rPr>
        <w:t xml:space="preserve">б) </w:t>
      </w:r>
      <w:r>
        <w:rPr>
          <w:rFonts w:ascii="Times New Roman" w:hAnsi="Times New Roman"/>
          <w:i/>
          <w:sz w:val="24"/>
        </w:rPr>
        <w:t>Показатель для анализа: доля получателей социальных услуг, удовлетворенных оборудованием для предоставления социальных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Доля получателей социальных услуг, удовлетворенных оборудованием для предоставления социальных услуг, в целом, составляет 86%. 12,2% опрошенных клиентов частично устраивает оборудование для предоставления социальных услуг, 1,8%  - не устраивает совсем. Надо отметить, что не все клиенты отвечали на данный вопрос, поэтому оценка степени удовлетворенности оборудованием для предоставления социальных услуг в зависимости от учреждения, не отражает истинной ситуации.</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в) </w:t>
      </w:r>
      <w:r>
        <w:rPr>
          <w:rFonts w:ascii="Times New Roman" w:hAnsi="Times New Roman"/>
          <w:i/>
          <w:sz w:val="24"/>
        </w:rPr>
        <w:t>Показатель для анализа: доля получателей социальных услуг, удовлетворенных питанием.</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Питание подвергали критике клиенты многих учреждений, с которыми общались эксперты. Только 68% опрошенных клиентов отметили, что питание им нравится, 24,5% клиентов сказали, что нравится не все, 7,2% клиентов ответили, что не нравится совсем.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100% клиентов удовлетворены услугами питания только в семи учреждениях – «</w:t>
      </w:r>
      <w:proofErr w:type="spellStart"/>
      <w:r>
        <w:rPr>
          <w:rFonts w:ascii="Times New Roman" w:hAnsi="Times New Roman"/>
          <w:sz w:val="24"/>
        </w:rPr>
        <w:t>Ананьинском</w:t>
      </w:r>
      <w:proofErr w:type="spellEnd"/>
      <w:r>
        <w:rPr>
          <w:rFonts w:ascii="Times New Roman" w:hAnsi="Times New Roman"/>
          <w:sz w:val="24"/>
        </w:rPr>
        <w:t xml:space="preserve"> ДИПИ» и «</w:t>
      </w:r>
      <w:proofErr w:type="spellStart"/>
      <w:r>
        <w:rPr>
          <w:rFonts w:ascii="Times New Roman" w:hAnsi="Times New Roman"/>
          <w:sz w:val="24"/>
        </w:rPr>
        <w:t>Бардымском</w:t>
      </w:r>
      <w:proofErr w:type="spellEnd"/>
      <w:r>
        <w:rPr>
          <w:rFonts w:ascii="Times New Roman" w:hAnsi="Times New Roman"/>
          <w:sz w:val="24"/>
        </w:rPr>
        <w:t xml:space="preserve"> ДИПИ»  - филиалах «Чайковского ДИПИ», «Вознесенском отделении» «Дубровского ПНИ», «Соликамском ДИПИ», «Ильинском ДИПИ» и «Перемском филиале» «Пермского ГПЦ».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большей степени питание не устраивает клиентов старше 80 лет, довольны питанием только 47% представителей этой возрастной группы. Клиенты, проживавшие до поступления в стационарное учреждение социального обслуживания, в домашних условиях, сравнивают с домашним питанием. Молодые клиенты ПНИ не довольны спецификой диетического питания и объемом пищи. Надо отметить, что во многих </w:t>
      </w:r>
      <w:r>
        <w:rPr>
          <w:rFonts w:ascii="Times New Roman" w:hAnsi="Times New Roman"/>
          <w:sz w:val="24"/>
        </w:rPr>
        <w:lastRenderedPageBreak/>
        <w:t xml:space="preserve">учреждениях созданы комиссии по питанию, в которые входят и клиенты, специалисты учреждений, представители организации – поставщика услуг по питанию, иногда и представители территориальных управлений Министерства социального развития Пермского края. Практически во всех учреждениях ведутся книги жалоб и предложений по питанию.  Сегодня поставщики услуг по питанию имеют возможность предоставлять клиентам дополнительное питание с учетом их пожеланий и потребностей, что значительно повышает удовлетворенность качеством питания клиентов.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Среди учреждений, клиенты которых демонстрируют низкий уровень удовлетворенности услугами питания – «Мичуринский ПНИ»  и «Верхне-</w:t>
      </w:r>
      <w:proofErr w:type="spellStart"/>
      <w:r>
        <w:rPr>
          <w:rFonts w:ascii="Times New Roman" w:hAnsi="Times New Roman"/>
          <w:sz w:val="24"/>
        </w:rPr>
        <w:t>Курьинский</w:t>
      </w:r>
      <w:proofErr w:type="spellEnd"/>
      <w:r>
        <w:rPr>
          <w:rFonts w:ascii="Times New Roman" w:hAnsi="Times New Roman"/>
          <w:sz w:val="24"/>
        </w:rPr>
        <w:t xml:space="preserve"> геронтологический центр».</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г) </w:t>
      </w:r>
      <w:r>
        <w:rPr>
          <w:rFonts w:ascii="Times New Roman" w:hAnsi="Times New Roman"/>
          <w:i/>
          <w:sz w:val="24"/>
        </w:rPr>
        <w:t>Показатель для анализа: доля получателей социальных услуг, удовлетворенных мебелью и мягким инвентарем.</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Мебелью и мягким инвентарем удовлетворены 91% получателей социальных услуг, опрошенных в ходе проведения экспертизы. Не нравится мебель и мягкий инвентарь 8% из числа молодежи в возрасте до 30 лет. В большей степени как «частично нравится» оценили мебель и мягкий инвентарь клиенты 1 группы инвалидности и люди старше 80 лет. Надо отметить, что молодые клиенты ПНИ имеют возможность приобретать мебель и мягкий инвентарь на собственные средства с разрешения опекунского совета, в ряде учреждений сегодня имеется мебель и мягкий инвентарь самих клиентов. </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д) </w:t>
      </w:r>
      <w:r>
        <w:rPr>
          <w:rFonts w:ascii="Times New Roman" w:hAnsi="Times New Roman"/>
          <w:i/>
          <w:sz w:val="24"/>
        </w:rPr>
        <w:t>Показатель для анализа: доля получателей социальных услуг, удовлетворенных санитарно-бытовыми и парикмахерскими услугами.</w:t>
      </w:r>
    </w:p>
    <w:p w:rsidR="00E05EFB" w:rsidRDefault="00E05EFB">
      <w:pPr>
        <w:spacing w:after="0" w:line="360" w:lineRule="auto"/>
        <w:ind w:firstLine="567"/>
        <w:jc w:val="both"/>
        <w:rPr>
          <w:rFonts w:ascii="Times New Roman" w:hAnsi="Times New Roman"/>
          <w:spacing w:val="1"/>
          <w:sz w:val="24"/>
          <w:shd w:val="clear" w:color="auto" w:fill="FFFFFF"/>
        </w:rPr>
      </w:pPr>
      <w:r>
        <w:rPr>
          <w:rFonts w:ascii="Times New Roman" w:hAnsi="Times New Roman"/>
          <w:spacing w:val="1"/>
          <w:sz w:val="24"/>
          <w:shd w:val="clear" w:color="auto" w:fill="FFFFFF"/>
        </w:rPr>
        <w:t xml:space="preserve">Почти 94% опрошенных получателей социальных услуг отметили, что довольны предоставлением данных услуг. В ходе анкетирования клиенты говорили о чистоте в комнатах, помощи специалистов при проведении санитарно-гигиенических процедур. Клиенты, способные к самообслуживанию, отмечали, что стараются поддерживать чистоту и порядок сами. Отмечали клиенты помощь ваннщиц. </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е) </w:t>
      </w:r>
      <w:r>
        <w:rPr>
          <w:rFonts w:ascii="Times New Roman" w:hAnsi="Times New Roman"/>
          <w:i/>
          <w:sz w:val="24"/>
        </w:rPr>
        <w:t>Показатель для анализа: доля получателей социальных услуг, удовлетворенных хранением личных вещей.</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соответствии с требованиями к оказанию социально-бытовых услуг клиентам предоставляется место для хранения личных вещей. Как правило, дееспособные клиенты свои вещи хранят в своей комнате, создают комфорт и уют, насколько им это требуется. Если это затруднительно, в учреждении созданы комнаты для хранения вещей клиентов, в своих личных шкафах клиенты хранят вещи, необходимые в повседневной жизни, сезонную одежду и обувь, гигиенические принадлежности и иные личные вещи. Наблюдение показало, что клиенты имеют возможность закрывать  шкафы на замок, </w:t>
      </w:r>
      <w:r>
        <w:rPr>
          <w:rFonts w:ascii="Times New Roman" w:hAnsi="Times New Roman"/>
          <w:sz w:val="24"/>
        </w:rPr>
        <w:lastRenderedPageBreak/>
        <w:t xml:space="preserve">также есть возможность закрывать комнаты. Поэтому 90% клиентов отметили, что удовлетворены процессом хранения вещей в учреждении.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Надо отметить, что лучше процесс хранения вещей организован в ПНИ, тогда как в ДИПИ клиенты стараются вместить в свои небольшие комнаты все имеющиеся вещи, высказывая, при этом, свое недовольство небольшим размером комнат и шкафов в комнатах. Результаты анкетирования клиентов показали, что чем старше клиенты, тем менее они удовлетворены организацией хранения личных вещей: они как раз в меньшей степени хотят сдавать вещи на хранение в специально оборудованные помещения.</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ж) </w:t>
      </w:r>
      <w:r>
        <w:rPr>
          <w:rFonts w:ascii="Times New Roman" w:hAnsi="Times New Roman"/>
          <w:i/>
          <w:sz w:val="24"/>
        </w:rPr>
        <w:t>Показатель для анализа: доля получателей социальных услуг, удовлетворенных оборудованным для инвалидов санитарно-гигиеническим помещением.</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87% опрошенных получателей социальных услуг отметили, что им нравится оборудованные для инвалидов санитарно-гигиенические помещения, причем, среди людей, не имеющих группы инвалидности и инвалидов 1 группы, удовлетворены 84%, инвалидов 2 группы – 89%, 3 группы – 94%. Наблюдение показало, что санитарно-гигиенические комнаты действительно оборудованы поручнями, есть возможность для въезда людей, использующим инвалидные коляски. На вопрос экспертов «почему именно таким образом установлены поручни в помещениях» в некоторых учреждениях отвечали, что устанавливали поручни в соответствии с потребностями и пожеланиями клиентов.</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з) </w:t>
      </w:r>
      <w:r>
        <w:rPr>
          <w:rFonts w:ascii="Times New Roman" w:hAnsi="Times New Roman"/>
          <w:i/>
          <w:sz w:val="24"/>
        </w:rPr>
        <w:t>Показатель для анализа: доля получателей социальных услуг, удовлетворенных санитарным содержанием санитарно-технического оборудования.</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Санитарному содержанию санитарно-технического оборудования в стационарных учреждениях социального обслуживания уделяется большое внимание, наблюдение показало, что в большинстве учреждений поддерживается чистота, санитарное состояние очень хорошее. Более критичны в оценке санитарного содержания санитарно-технического оборудования клиенты, проживающие в ДИПИ, лица в возрасте 60 лет и старше, являющиеся инвалидами 1 и 2 групп. </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и) </w:t>
      </w:r>
      <w:r>
        <w:rPr>
          <w:rFonts w:ascii="Times New Roman" w:hAnsi="Times New Roman"/>
          <w:i/>
          <w:sz w:val="24"/>
        </w:rPr>
        <w:t>Показатель для анализа: доля получателей социальных услуг, удовлетворенных порядком оплаты социальных услуг.</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процессе беседы с клиентами эксперты задавали клиентам вопрос об удовлетворенности порядком оплаты социальных услуг. Необходимо отметить, что клиенты до конца не понимали смысл данного вопроса, поэтому содержание в ответы вкладывали разное. Так, в соответствии с действующим законодательством о порядке оказания стационарных социальных услуг бесплатно в настоящее время изменен порядок оценки доходов, </w:t>
      </w:r>
      <w:proofErr w:type="spellStart"/>
      <w:r>
        <w:rPr>
          <w:rFonts w:ascii="Times New Roman" w:hAnsi="Times New Roman"/>
          <w:sz w:val="24"/>
        </w:rPr>
        <w:t>учитывающихся</w:t>
      </w:r>
      <w:proofErr w:type="spellEnd"/>
      <w:r>
        <w:rPr>
          <w:rFonts w:ascii="Times New Roman" w:hAnsi="Times New Roman"/>
          <w:sz w:val="24"/>
        </w:rPr>
        <w:t xml:space="preserve"> при исчислении оплаты клиентами, находящимися в учреждении за счет средств бюджета. Несмотря на то, что, по словам специалистов, с </w:t>
      </w:r>
      <w:r>
        <w:rPr>
          <w:rFonts w:ascii="Times New Roman" w:hAnsi="Times New Roman"/>
          <w:sz w:val="24"/>
        </w:rPr>
        <w:lastRenderedPageBreak/>
        <w:t>клиентами проводятся разъяснительные беседы, сами клиенты отмечали, что не понимают и не знают, что имеется в виду, поэтому клиенты, находящиеся в учреждении за счет бюджета, говорили, что «снимают 75% пенсии, их это устраивает». Клиенты, самостоятельно оплачивающие свое пребывание также говорили, то порядок оплаты услуг их вполне устраивает. Недееспособные клиенты под оплатой услуг имели в виду заказ товаров за счет собственных средств. Вот именно эта категория клиентов и продемонстрировала большую неудовлетворенность, порядком оплаты социальных услуг, имея в виду именно процесс исполнения собственных заказов. Так, среди клиентов до 30 лет порядком оплаты услуг удовлетворены 77% опрошенных.</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к) </w:t>
      </w:r>
      <w:r>
        <w:rPr>
          <w:rFonts w:ascii="Times New Roman" w:hAnsi="Times New Roman"/>
          <w:i/>
          <w:sz w:val="24"/>
        </w:rPr>
        <w:t>Показатель для анализа: доля получателей социальных услуг, удовлетворенных конфиденциальностью предоставления социальных услуг.</w:t>
      </w:r>
    </w:p>
    <w:p w:rsidR="00E05EFB" w:rsidRDefault="00E05EFB">
      <w:pPr>
        <w:spacing w:after="0" w:line="360" w:lineRule="auto"/>
        <w:ind w:firstLine="567"/>
        <w:jc w:val="both"/>
        <w:rPr>
          <w:rFonts w:ascii="Times New Roman" w:hAnsi="Times New Roman"/>
          <w:i/>
          <w:sz w:val="24"/>
        </w:rPr>
      </w:pPr>
      <w:r>
        <w:rPr>
          <w:rFonts w:ascii="Times New Roman" w:hAnsi="Times New Roman"/>
          <w:sz w:val="24"/>
        </w:rPr>
        <w:t xml:space="preserve">Необходимо отметить, что понятие «конфиденциальность предоставления социальных услуг» оказалось наиболее сложным для понимания клиентами. В целом, 85% опрошенных клиентов удовлетворены конфиденциальностью предоставления социальных услуг. Меньшую удовлетворенность продемонстрировали клиенты в возрасте до 30 лет, не имеющие группу инвалидности. Однако из бесед с клиентами эксперты выяснили, что случаев распространения информации о клиентах практически не было.  В целом, 11,4% опрошенных клиентов частично устраивает конфиденциальность предоставления социальных услуг. </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t xml:space="preserve">л) </w:t>
      </w:r>
      <w:r>
        <w:rPr>
          <w:rFonts w:ascii="Times New Roman" w:hAnsi="Times New Roman"/>
          <w:i/>
          <w:sz w:val="24"/>
        </w:rPr>
        <w:t>Показатель для анализа: доля получателей социальных услуг, удовлетворенных графиком посещения родственниками.</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Анкетирование показало, что только 62% клиентов поддерживают связь с родственниками, почти 26%  - связь не поддерживают вообще. Причем, в меньшей степени поддерживают связь с родственниками клиенты, проживающие в ПНИ (60% поддерживают, почти 30% - нет), в большей степени – клиенты ДИПИ (65%  поддерживают, 22% - нет). Поэтому, очевидно, что из числа поддерживающих контакты с родными и близкими удовлетворены графиком посещения около 90% получателей социальных услуг в учреждении. В большей степени, нравится график посещений родственникам клиентов из числа ПНИ (92%), в меньшей степени из числа ДИПИ (87%). Меньше всего довольных графиком посещений среди молодежи (84%). При этом, специалисты большинства учреждений, особенно находящихся в отдалении от крупных населенных пунктов и транспортных развязок, отмечают, что, несмотря на наличие графика, они готовы принимать родственников и вне графика, вопрос в том, что посещают не более 25-30% клиентов (это следует из анкетного опроса клиентов). </w:t>
      </w:r>
    </w:p>
    <w:p w:rsidR="00E05EFB" w:rsidRDefault="00E05EFB">
      <w:pPr>
        <w:spacing w:after="0" w:line="360" w:lineRule="auto"/>
        <w:ind w:firstLine="567"/>
        <w:jc w:val="both"/>
        <w:rPr>
          <w:rFonts w:ascii="Times New Roman" w:hAnsi="Times New Roman"/>
          <w:i/>
          <w:sz w:val="24"/>
        </w:rPr>
      </w:pPr>
      <w:r>
        <w:rPr>
          <w:rFonts w:ascii="Times New Roman" w:hAnsi="Times New Roman"/>
          <w:spacing w:val="1"/>
          <w:sz w:val="24"/>
          <w:shd w:val="clear" w:color="auto" w:fill="FFFFFF"/>
        </w:rPr>
        <w:lastRenderedPageBreak/>
        <w:t xml:space="preserve">м) </w:t>
      </w:r>
      <w:r>
        <w:rPr>
          <w:rFonts w:ascii="Times New Roman" w:hAnsi="Times New Roman"/>
          <w:i/>
          <w:sz w:val="24"/>
        </w:rPr>
        <w:t>Показатель для анализа: доля получателей социальных услуг, удовлетворенных оперативностью решения вопросов</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86% получателей социальных услуг в стационарных учреждениях социального обслуживания Пермского края нравится, насколько оперативно решаются вопросы в учреждении, этот показатель  отражает мнение представителей разных социальных групп клиентов. Наиболее требовательны здесь клиенты с 1 группой инвалидности, среди них только 72% удовлетворенных оперативностью решения вопросов. </w:t>
      </w:r>
    </w:p>
    <w:p w:rsidR="00E05EFB" w:rsidRDefault="00E05EFB">
      <w:pPr>
        <w:spacing w:after="0" w:line="360" w:lineRule="auto"/>
        <w:ind w:left="284"/>
        <w:jc w:val="both"/>
        <w:rPr>
          <w:rFonts w:ascii="Times New Roman" w:hAnsi="Times New Roman"/>
          <w:b/>
          <w:i/>
          <w:sz w:val="24"/>
        </w:rPr>
      </w:pPr>
    </w:p>
    <w:p w:rsidR="00E05EFB" w:rsidRDefault="00E05EFB">
      <w:pPr>
        <w:spacing w:after="0" w:line="360" w:lineRule="auto"/>
        <w:ind w:left="284"/>
        <w:jc w:val="both"/>
        <w:rPr>
          <w:rFonts w:ascii="Times New Roman" w:hAnsi="Times New Roman"/>
          <w:b/>
          <w:i/>
          <w:sz w:val="24"/>
        </w:rPr>
      </w:pPr>
      <w:r>
        <w:rPr>
          <w:rFonts w:ascii="Times New Roman" w:hAnsi="Times New Roman"/>
          <w:b/>
          <w:i/>
          <w:sz w:val="24"/>
        </w:rPr>
        <w:t>5.3. Показатель для анализа: доля получателей социальных услуг, удовлетворенных качеством проводимых мероприятий, имеющих групповой характер (оздоровительных, досуговых),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Анализ анкет клиентов показал, что только 60% опрошенных клиентов посещают групповые мероприятия, почти 30% их не посещают. 92% из числа опрошенных клиентов между тем считают, что такие мероприятия, кружки и клубы по интересам должны быть. Как показало анкетирование, чем старше клиенты, проживающие в учреждениях, тем меньше у них желание  посещать  групповые мероприятия. Так, посещают кружки и другие мероприятия 78% клиентов в возрасте до 30 лет, 75% клиентов в возрасте до 40 лет, 80% - в возрасте до 50 лет, 50% - в возрасте до 60 лет,  45% - в возрасте до 70 лет, 33% - до 80 и 30% - старше 80 лет.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Клиенты ПНИ более охотно посещают групповые мероприятия (таких 75%), чем клиенты ДИПИ (здесь посещающих групповые мероприятия только 41%).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целом, 90% опрошенных получателей социальных услуг (очевидно, из тех, что мероприятия посещают) удовлетворены качеством проводимых групповых мероприятий. В 20 учреждениях все 100% клиентов довольны групповыми мероприятиями. В большей степени отмечают высокое качество проводимых в учреждении групповых мероприятий клиенты в возрасте до 50 лет, не имеющие группы инвалидности, проживающие в ПНИ. Более критичны (но незначительно) к оценке групповых мероприятий клиенты ДИПИ в возрасте старше 50 лет, имеющие группу инвалидности. Среди учреждений отметили недовольство групповыми мероприятиями клиенты </w:t>
      </w:r>
      <w:proofErr w:type="spellStart"/>
      <w:r>
        <w:rPr>
          <w:rFonts w:ascii="Times New Roman" w:hAnsi="Times New Roman"/>
          <w:sz w:val="24"/>
        </w:rPr>
        <w:t>Оханского</w:t>
      </w:r>
      <w:proofErr w:type="spellEnd"/>
      <w:r>
        <w:rPr>
          <w:rFonts w:ascii="Times New Roman" w:hAnsi="Times New Roman"/>
          <w:sz w:val="24"/>
        </w:rPr>
        <w:t xml:space="preserve"> ДИПИ и  </w:t>
      </w:r>
      <w:proofErr w:type="spellStart"/>
      <w:r>
        <w:rPr>
          <w:rFonts w:ascii="Times New Roman" w:hAnsi="Times New Roman"/>
          <w:sz w:val="24"/>
        </w:rPr>
        <w:t>Пелымского</w:t>
      </w:r>
      <w:proofErr w:type="spellEnd"/>
      <w:r>
        <w:rPr>
          <w:rFonts w:ascii="Times New Roman" w:hAnsi="Times New Roman"/>
          <w:sz w:val="24"/>
        </w:rPr>
        <w:t xml:space="preserve"> филиала </w:t>
      </w:r>
      <w:proofErr w:type="spellStart"/>
      <w:r>
        <w:rPr>
          <w:rFonts w:ascii="Times New Roman" w:hAnsi="Times New Roman"/>
          <w:sz w:val="24"/>
        </w:rPr>
        <w:t>Кудымкарского</w:t>
      </w:r>
      <w:proofErr w:type="spellEnd"/>
      <w:r>
        <w:rPr>
          <w:rFonts w:ascii="Times New Roman" w:hAnsi="Times New Roman"/>
          <w:sz w:val="24"/>
        </w:rPr>
        <w:t xml:space="preserve"> ДИПИ (20% опрошенных отметили их низкое качество, 40% - среднее).</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В качестве рекомендации хотелось бы высказать пожелание о необходимости большего вовлечения клиентов в групповые мероприятия (концерты, кружки, чтение книг и т.д.) и объяснения клиентам, что данные досуговые мероприятия  также относятся к числу социальных услуг.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5.4. Показатель для анализа: количество зарегистрированных в организации социального обслуживания жалоб получателей социальных услуг на качество услуг, предоставленных организацией в отчетном периоде на 100 получателей социальных услуг (в течение года)</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При проведении экспертизы – независимой оценки качества оказания социальных услуг специалисты знакомились с книгами жалоб, предложений, обращений, имеющихся в учреждении. Необходимо отметить, что подобные документы имеются во всех учреждениях, но используются они по-разному. Как правило, в книгах жалоб и предложений (книгах отзывов и предложений – чаще они именно так называются)  клиентами и их посетителями фиксируются слова благодарности персоналу за хорошее отношение и предоставление социальных услуг. Поэтому, фактически в 80% учреждений, которые посетили эксперты, в представленных документах жалоб зафиксировано не было. Беседы с руководителями учреждений и специалистами, работающих в них, показали, что клиенты предпочитают напрямую обращаться к специалистам или руководителям учреждений, либо отправлять жалобы в вышестоящие инстанции: Министерство социального развития, аппарат Уполномоченного по правам человека и др. В 17% учреждений зафиксировано менее 5 жалоб, в одном учреждении – более 5 жалоб. При этом, надо отметить, как достоинство наличие деятельности по работе с жалобами клиентов в учреждении. Важно, что в некоторых учреждениях (Марковский ГПЦ, Чайковский ДИПИ, Пермский геронтопсихиатрический центр, Ильинский ДИПИ, Озерский ПНИ) свои книги обращений и жалоб есть у каждого специалиста (руководителя учреждения или филиала, психолога, специалиста по социальной работе, специалиста по реабилитации). В них специалисты отражают суть обращения клиента, суть его недовольства, описывают процесс разрешения сложившейся ситуации. В ряде учреждений в настоящее время разработан или разрабатывается регламент оказания социально-бытовой услуги, в том числе, разработан или разрабатывается порядок написания и подачи жалобы. Наличие в учреждении порядка реагирования на жалобы и обращения клиентов снижает уровень недовольства и </w:t>
      </w:r>
      <w:proofErr w:type="spellStart"/>
      <w:r>
        <w:rPr>
          <w:rFonts w:ascii="Times New Roman" w:hAnsi="Times New Roman"/>
          <w:sz w:val="24"/>
        </w:rPr>
        <w:t>конфликтогенности</w:t>
      </w:r>
      <w:proofErr w:type="spellEnd"/>
      <w:r>
        <w:rPr>
          <w:rFonts w:ascii="Times New Roman" w:hAnsi="Times New Roman"/>
          <w:sz w:val="24"/>
        </w:rPr>
        <w:t xml:space="preserve"> клиентов.  </w:t>
      </w:r>
    </w:p>
    <w:p w:rsidR="00E05EFB" w:rsidRDefault="00E05EFB">
      <w:pPr>
        <w:spacing w:after="0" w:line="360" w:lineRule="auto"/>
        <w:ind w:firstLine="567"/>
        <w:jc w:val="both"/>
        <w:rPr>
          <w:rFonts w:ascii="Times New Roman" w:hAnsi="Times New Roman"/>
          <w:sz w:val="24"/>
        </w:rPr>
      </w:pPr>
    </w:p>
    <w:p w:rsidR="00E05EFB" w:rsidRDefault="00E05EFB">
      <w:pPr>
        <w:spacing w:after="0" w:line="360" w:lineRule="auto"/>
        <w:ind w:firstLine="567"/>
        <w:jc w:val="both"/>
        <w:rPr>
          <w:rFonts w:ascii="Times New Roman" w:hAnsi="Times New Roman"/>
          <w:b/>
          <w:i/>
          <w:sz w:val="24"/>
        </w:rPr>
      </w:pPr>
      <w:r>
        <w:rPr>
          <w:rFonts w:ascii="Times New Roman" w:hAnsi="Times New Roman"/>
          <w:b/>
          <w:i/>
          <w:sz w:val="24"/>
        </w:rPr>
        <w:t>5.5. Показатель для анализа: доля получателей социальных услуг, которые готовы рекомендовать организацию социального обслуживания родственникам и знакомым, нуждающимся в социальном обслуживании, от общего числа опрошенных</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 xml:space="preserve">Данный показатель анализировался на основе данных анкет клиентов. Порекомендовали бы учреждение своим родственникам и знакомым 75% опрошенных </w:t>
      </w:r>
      <w:r>
        <w:rPr>
          <w:rFonts w:ascii="Times New Roman" w:hAnsi="Times New Roman"/>
          <w:sz w:val="24"/>
        </w:rPr>
        <w:lastRenderedPageBreak/>
        <w:t xml:space="preserve">клиентов, почти 13% не стали бы рекомендовать категорически. Причем, клиенты разных возрастов, проживающие и в ПНИ, и в ДИПИ, имеющие группу инвалидности или не имеющие таковой в равной степени готовы и не готовы рекомендовать учреждение, в котором находятся, своим знакомым и родственникам. Среди молодых клиентов в возрасте до 30 лет, не имеющих группу инвалидности или имеющие 3 группу инвалидности, данный показатель чуть выше, чем у представителей других социальных групп, но незначительно. Очевидно, клиенты положительно оценивают учреждения, в которых находятся, удовлетворены уровнем и качеством жизни в них. </w:t>
      </w:r>
    </w:p>
    <w:p w:rsidR="00E05EFB" w:rsidRDefault="00E05EFB">
      <w:pPr>
        <w:spacing w:after="0" w:line="360" w:lineRule="auto"/>
        <w:ind w:firstLine="567"/>
        <w:jc w:val="both"/>
        <w:rPr>
          <w:rFonts w:ascii="Times New Roman" w:hAnsi="Times New Roman"/>
          <w:sz w:val="24"/>
        </w:rPr>
      </w:pPr>
      <w:r>
        <w:rPr>
          <w:rFonts w:ascii="Times New Roman" w:hAnsi="Times New Roman"/>
          <w:sz w:val="24"/>
        </w:rPr>
        <w:t>100% опрошенных клиентов готовы рекомендовать своим знакомым учреждения в «Казанском» и «Садовом» отделениях «</w:t>
      </w:r>
      <w:proofErr w:type="spellStart"/>
      <w:r>
        <w:rPr>
          <w:rFonts w:ascii="Times New Roman" w:hAnsi="Times New Roman"/>
          <w:sz w:val="24"/>
        </w:rPr>
        <w:t>Верещагинского</w:t>
      </w:r>
      <w:proofErr w:type="spellEnd"/>
      <w:r>
        <w:rPr>
          <w:rFonts w:ascii="Times New Roman" w:hAnsi="Times New Roman"/>
          <w:sz w:val="24"/>
        </w:rPr>
        <w:t xml:space="preserve"> филиала» и самом «Дубровском ПНИ», «</w:t>
      </w:r>
      <w:proofErr w:type="spellStart"/>
      <w:r>
        <w:rPr>
          <w:rFonts w:ascii="Times New Roman" w:hAnsi="Times New Roman"/>
          <w:sz w:val="24"/>
        </w:rPr>
        <w:t>Бардымском</w:t>
      </w:r>
      <w:proofErr w:type="spellEnd"/>
      <w:r>
        <w:rPr>
          <w:rFonts w:ascii="Times New Roman" w:hAnsi="Times New Roman"/>
          <w:sz w:val="24"/>
        </w:rPr>
        <w:t xml:space="preserve"> ДИПИ», «</w:t>
      </w:r>
      <w:proofErr w:type="spellStart"/>
      <w:r>
        <w:rPr>
          <w:rFonts w:ascii="Times New Roman" w:hAnsi="Times New Roman"/>
          <w:sz w:val="24"/>
        </w:rPr>
        <w:t>Кизеловском</w:t>
      </w:r>
      <w:proofErr w:type="spellEnd"/>
      <w:r>
        <w:rPr>
          <w:rFonts w:ascii="Times New Roman" w:hAnsi="Times New Roman"/>
          <w:sz w:val="24"/>
        </w:rPr>
        <w:t xml:space="preserve"> ПНИ», «</w:t>
      </w:r>
      <w:proofErr w:type="spellStart"/>
      <w:r>
        <w:rPr>
          <w:rFonts w:ascii="Times New Roman" w:hAnsi="Times New Roman"/>
          <w:sz w:val="24"/>
        </w:rPr>
        <w:t>Култаевском</w:t>
      </w:r>
      <w:proofErr w:type="spellEnd"/>
      <w:r>
        <w:rPr>
          <w:rFonts w:ascii="Times New Roman" w:hAnsi="Times New Roman"/>
          <w:sz w:val="24"/>
        </w:rPr>
        <w:t xml:space="preserve"> ДИПИ» и «Перемском филиале» Пермского ГПЦ. Ответ на данный вопрос отражает действительно степень удовлетворенности клиентами всем комплексом предоставляемых в учреждении услуг и отношением к клиентам со стороны персонала.</w:t>
      </w:r>
    </w:p>
    <w:p w:rsidR="00E05EFB" w:rsidRDefault="00E05EFB" w:rsidP="002E296A">
      <w:pPr>
        <w:spacing w:after="0" w:line="360" w:lineRule="auto"/>
        <w:rPr>
          <w:rFonts w:ascii="Times New Roman" w:hAnsi="Times New Roman"/>
          <w:b/>
          <w:sz w:val="24"/>
        </w:rPr>
      </w:pPr>
      <w:r>
        <w:rPr>
          <w:rFonts w:ascii="Times New Roman" w:hAnsi="Times New Roman"/>
          <w:sz w:val="24"/>
        </w:rPr>
        <w:t xml:space="preserve">          </w:t>
      </w:r>
      <w:r>
        <w:rPr>
          <w:rFonts w:ascii="Times New Roman" w:hAnsi="Times New Roman"/>
          <w:b/>
          <w:sz w:val="24"/>
        </w:rPr>
        <w:t>Рекомендации для учреждений по улучшения качества оказания услуг</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1) В части повышения информационной открытости и доступности:</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 xml:space="preserve"> 1.1. Разработать типовой регламент организации информационной среды учреждений, где прописать требования к количеству информационных материалов, их содержанию, оформлению и размещению. </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 xml:space="preserve">1.2. Разработать типовые требования к оформлению и ведению книг жалоб и предложений, журналов учета обращений клиентов и членов их семей и проведенной работы по этим обращениям. </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2) В части повышения комфортности и доступности оказания услуг:</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2.1 Оборудование доступной среды в полном объеме.</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3) В части повышения компетентности работников, их вежливости и доброжелательности:</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3.1. Проведение постоянных обучающих мероприятий для специалистов всех уровней и всех специальностей для повышения квалификации в сфере профессионального и бесконфликтного общения и т.д.</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 xml:space="preserve">3.2. </w:t>
      </w:r>
      <w:proofErr w:type="gramStart"/>
      <w:r w:rsidRPr="00042F2E">
        <w:rPr>
          <w:rFonts w:ascii="Times New Roman" w:hAnsi="Times New Roman"/>
          <w:sz w:val="24"/>
        </w:rPr>
        <w:t>Помощь в адаптации «новичкам» (возможно, система «наставничества») для облегчения понимания специфики учреждений, клиентов учреждений, а также  понимания всеми специалистами необходимости соблюдения прав человека, соблюдения законодательства о социальном обслуживании</w:t>
      </w:r>
      <w:bookmarkStart w:id="0" w:name="_GoBack"/>
      <w:bookmarkEnd w:id="0"/>
      <w:r w:rsidRPr="00042F2E">
        <w:rPr>
          <w:rFonts w:ascii="Times New Roman" w:hAnsi="Times New Roman"/>
          <w:sz w:val="24"/>
        </w:rPr>
        <w:t xml:space="preserve"> и требований профессиональных стандартов («Руководитель организации социального обслуживания», «Специалист по социальной работе», «Социальный работник», «Специалист по реабилитационной работе </w:t>
      </w:r>
      <w:r w:rsidRPr="00042F2E">
        <w:rPr>
          <w:rFonts w:ascii="Times New Roman" w:hAnsi="Times New Roman"/>
          <w:sz w:val="24"/>
        </w:rPr>
        <w:lastRenderedPageBreak/>
        <w:t>в социальной сфере» и др., утвержденных приказами Минтруда России еще в 2013 году), а</w:t>
      </w:r>
      <w:proofErr w:type="gramEnd"/>
      <w:r w:rsidRPr="00042F2E">
        <w:rPr>
          <w:rFonts w:ascii="Times New Roman" w:hAnsi="Times New Roman"/>
          <w:sz w:val="24"/>
        </w:rPr>
        <w:t xml:space="preserve"> также соблюдения «Кодекса этики и служебного поведения </w:t>
      </w:r>
      <w:proofErr w:type="gramStart"/>
      <w:r w:rsidRPr="00042F2E">
        <w:rPr>
          <w:rFonts w:ascii="Times New Roman" w:hAnsi="Times New Roman"/>
          <w:sz w:val="24"/>
        </w:rPr>
        <w:t>работников органов управления социальной защиты населения</w:t>
      </w:r>
      <w:proofErr w:type="gramEnd"/>
      <w:r w:rsidRPr="00042F2E">
        <w:rPr>
          <w:rFonts w:ascii="Times New Roman" w:hAnsi="Times New Roman"/>
          <w:sz w:val="24"/>
        </w:rPr>
        <w:t xml:space="preserve"> и учреждений социального обслуживания», утв.  Приказом Минтруда России №</w:t>
      </w:r>
      <w:r w:rsidR="009B6970">
        <w:rPr>
          <w:rFonts w:ascii="Times New Roman" w:hAnsi="Times New Roman"/>
          <w:sz w:val="24"/>
        </w:rPr>
        <w:t xml:space="preserve"> </w:t>
      </w:r>
      <w:r w:rsidRPr="00042F2E">
        <w:rPr>
          <w:rFonts w:ascii="Times New Roman" w:hAnsi="Times New Roman"/>
          <w:sz w:val="24"/>
        </w:rPr>
        <w:t>792 от 31 декабря 2013 г.</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 xml:space="preserve">3.3. Внедрение технологии </w:t>
      </w:r>
      <w:proofErr w:type="spellStart"/>
      <w:r w:rsidRPr="00042F2E">
        <w:rPr>
          <w:rFonts w:ascii="Times New Roman" w:hAnsi="Times New Roman"/>
          <w:sz w:val="24"/>
        </w:rPr>
        <w:t>супервизии</w:t>
      </w:r>
      <w:proofErr w:type="spellEnd"/>
      <w:r w:rsidRPr="00042F2E">
        <w:rPr>
          <w:rFonts w:ascii="Times New Roman" w:hAnsi="Times New Roman"/>
          <w:sz w:val="24"/>
        </w:rPr>
        <w:t xml:space="preserve"> в деятельности учреждений стационарного социального обслуживания для работы со «сложными случаями», предупреждении профессионального выгорания сотрудников учреждений.</w:t>
      </w:r>
    </w:p>
    <w:p w:rsidR="00042F2E" w:rsidRPr="00042F2E" w:rsidRDefault="00042F2E" w:rsidP="00042F2E">
      <w:pPr>
        <w:spacing w:after="0" w:line="360" w:lineRule="auto"/>
        <w:ind w:firstLine="567"/>
        <w:jc w:val="both"/>
        <w:rPr>
          <w:rFonts w:ascii="Times New Roman" w:hAnsi="Times New Roman"/>
          <w:sz w:val="24"/>
        </w:rPr>
      </w:pPr>
      <w:r w:rsidRPr="00042F2E">
        <w:rPr>
          <w:rFonts w:ascii="Times New Roman" w:hAnsi="Times New Roman"/>
          <w:sz w:val="24"/>
        </w:rPr>
        <w:t>3.4.Организация тематических  мероприятий по обмену опытом для специалистов различного профиля учреждений (психологов, инструкторов по труду, специалистов по социальной работе, специалистов по реабилитации и т.д.).</w:t>
      </w:r>
    </w:p>
    <w:p w:rsidR="00E05EFB" w:rsidRDefault="00E05EFB" w:rsidP="00042F2E">
      <w:pPr>
        <w:spacing w:after="0" w:line="360" w:lineRule="auto"/>
        <w:ind w:firstLine="567"/>
        <w:jc w:val="both"/>
        <w:rPr>
          <w:rFonts w:ascii="Times New Roman" w:hAnsi="Times New Roman"/>
          <w:sz w:val="24"/>
        </w:rPr>
      </w:pPr>
    </w:p>
    <w:sectPr w:rsidR="00E05EFB" w:rsidSect="002E296A">
      <w:footerReference w:type="even" r:id="rId12"/>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7C2" w:rsidRDefault="00A207C2">
      <w:r>
        <w:separator/>
      </w:r>
    </w:p>
  </w:endnote>
  <w:endnote w:type="continuationSeparator" w:id="0">
    <w:p w:rsidR="00A207C2" w:rsidRDefault="00A2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EFB" w:rsidRDefault="00E05EFB" w:rsidP="00715B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05EFB" w:rsidRDefault="00E05EFB" w:rsidP="002E296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EFB" w:rsidRDefault="00E05EFB" w:rsidP="00715B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25594C">
      <w:rPr>
        <w:rStyle w:val="a6"/>
        <w:noProof/>
      </w:rPr>
      <w:t>32</w:t>
    </w:r>
    <w:r>
      <w:rPr>
        <w:rStyle w:val="a6"/>
      </w:rPr>
      <w:fldChar w:fldCharType="end"/>
    </w:r>
  </w:p>
  <w:p w:rsidR="00E05EFB" w:rsidRDefault="00E05EFB" w:rsidP="002E296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7C2" w:rsidRDefault="00A207C2">
      <w:r>
        <w:separator/>
      </w:r>
    </w:p>
  </w:footnote>
  <w:footnote w:type="continuationSeparator" w:id="0">
    <w:p w:rsidR="00A207C2" w:rsidRDefault="00A207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2BA"/>
    <w:multiLevelType w:val="multilevel"/>
    <w:tmpl w:val="C72689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617534B"/>
    <w:multiLevelType w:val="multilevel"/>
    <w:tmpl w:val="5F582A4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DCF0302"/>
    <w:multiLevelType w:val="multilevel"/>
    <w:tmpl w:val="1A22134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E0E5AB9"/>
    <w:multiLevelType w:val="multilevel"/>
    <w:tmpl w:val="81AE6B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E213ED7"/>
    <w:multiLevelType w:val="multilevel"/>
    <w:tmpl w:val="10F24FC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A4321C6"/>
    <w:multiLevelType w:val="multilevel"/>
    <w:tmpl w:val="BAEEB74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4DA05E6"/>
    <w:multiLevelType w:val="multilevel"/>
    <w:tmpl w:val="CE565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62B72A8"/>
    <w:multiLevelType w:val="hybridMultilevel"/>
    <w:tmpl w:val="7C564CD4"/>
    <w:lvl w:ilvl="0" w:tplc="BDA4BD80">
      <w:start w:val="5"/>
      <w:numFmt w:val="decimal"/>
      <w:lvlText w:val="%1."/>
      <w:lvlJc w:val="left"/>
      <w:pPr>
        <w:ind w:left="1647" w:hanging="360"/>
      </w:pPr>
      <w:rPr>
        <w:rFonts w:cs="Times New Roman" w:hint="default"/>
      </w:rPr>
    </w:lvl>
    <w:lvl w:ilvl="1" w:tplc="04190019" w:tentative="1">
      <w:start w:val="1"/>
      <w:numFmt w:val="lowerLetter"/>
      <w:lvlText w:val="%2."/>
      <w:lvlJc w:val="left"/>
      <w:pPr>
        <w:ind w:left="2367" w:hanging="360"/>
      </w:pPr>
      <w:rPr>
        <w:rFonts w:cs="Times New Roman"/>
      </w:rPr>
    </w:lvl>
    <w:lvl w:ilvl="2" w:tplc="0419001B" w:tentative="1">
      <w:start w:val="1"/>
      <w:numFmt w:val="lowerRoman"/>
      <w:lvlText w:val="%3."/>
      <w:lvlJc w:val="right"/>
      <w:pPr>
        <w:ind w:left="3087" w:hanging="180"/>
      </w:pPr>
      <w:rPr>
        <w:rFonts w:cs="Times New Roman"/>
      </w:rPr>
    </w:lvl>
    <w:lvl w:ilvl="3" w:tplc="0419000F" w:tentative="1">
      <w:start w:val="1"/>
      <w:numFmt w:val="decimal"/>
      <w:lvlText w:val="%4."/>
      <w:lvlJc w:val="left"/>
      <w:pPr>
        <w:ind w:left="3807" w:hanging="360"/>
      </w:pPr>
      <w:rPr>
        <w:rFonts w:cs="Times New Roman"/>
      </w:rPr>
    </w:lvl>
    <w:lvl w:ilvl="4" w:tplc="04190019" w:tentative="1">
      <w:start w:val="1"/>
      <w:numFmt w:val="lowerLetter"/>
      <w:lvlText w:val="%5."/>
      <w:lvlJc w:val="left"/>
      <w:pPr>
        <w:ind w:left="4527" w:hanging="360"/>
      </w:pPr>
      <w:rPr>
        <w:rFonts w:cs="Times New Roman"/>
      </w:rPr>
    </w:lvl>
    <w:lvl w:ilvl="5" w:tplc="0419001B" w:tentative="1">
      <w:start w:val="1"/>
      <w:numFmt w:val="lowerRoman"/>
      <w:lvlText w:val="%6."/>
      <w:lvlJc w:val="right"/>
      <w:pPr>
        <w:ind w:left="5247" w:hanging="180"/>
      </w:pPr>
      <w:rPr>
        <w:rFonts w:cs="Times New Roman"/>
      </w:rPr>
    </w:lvl>
    <w:lvl w:ilvl="6" w:tplc="0419000F" w:tentative="1">
      <w:start w:val="1"/>
      <w:numFmt w:val="decimal"/>
      <w:lvlText w:val="%7."/>
      <w:lvlJc w:val="left"/>
      <w:pPr>
        <w:ind w:left="5967" w:hanging="360"/>
      </w:pPr>
      <w:rPr>
        <w:rFonts w:cs="Times New Roman"/>
      </w:rPr>
    </w:lvl>
    <w:lvl w:ilvl="7" w:tplc="04190019" w:tentative="1">
      <w:start w:val="1"/>
      <w:numFmt w:val="lowerLetter"/>
      <w:lvlText w:val="%8."/>
      <w:lvlJc w:val="left"/>
      <w:pPr>
        <w:ind w:left="6687" w:hanging="360"/>
      </w:pPr>
      <w:rPr>
        <w:rFonts w:cs="Times New Roman"/>
      </w:rPr>
    </w:lvl>
    <w:lvl w:ilvl="8" w:tplc="0419001B" w:tentative="1">
      <w:start w:val="1"/>
      <w:numFmt w:val="lowerRoman"/>
      <w:lvlText w:val="%9."/>
      <w:lvlJc w:val="right"/>
      <w:pPr>
        <w:ind w:left="7407" w:hanging="180"/>
      </w:pPr>
      <w:rPr>
        <w:rFonts w:cs="Times New Roman"/>
      </w:rPr>
    </w:lvl>
  </w:abstractNum>
  <w:abstractNum w:abstractNumId="8">
    <w:nsid w:val="313C7E06"/>
    <w:multiLevelType w:val="multilevel"/>
    <w:tmpl w:val="DAE632C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AB2770E"/>
    <w:multiLevelType w:val="multilevel"/>
    <w:tmpl w:val="5284FB9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5A27E2C"/>
    <w:multiLevelType w:val="multilevel"/>
    <w:tmpl w:val="4FF85D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7F6D4DA9"/>
    <w:multiLevelType w:val="multilevel"/>
    <w:tmpl w:val="3F54C8B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1"/>
  </w:num>
  <w:num w:numId="3">
    <w:abstractNumId w:val="11"/>
  </w:num>
  <w:num w:numId="4">
    <w:abstractNumId w:val="3"/>
  </w:num>
  <w:num w:numId="5">
    <w:abstractNumId w:val="10"/>
  </w:num>
  <w:num w:numId="6">
    <w:abstractNumId w:val="4"/>
  </w:num>
  <w:num w:numId="7">
    <w:abstractNumId w:val="6"/>
  </w:num>
  <w:num w:numId="8">
    <w:abstractNumId w:val="0"/>
  </w:num>
  <w:num w:numId="9">
    <w:abstractNumId w:val="2"/>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9F4"/>
    <w:rsid w:val="00021DDF"/>
    <w:rsid w:val="00032BCC"/>
    <w:rsid w:val="00042F2E"/>
    <w:rsid w:val="001A1C53"/>
    <w:rsid w:val="001E6F1F"/>
    <w:rsid w:val="00242BBE"/>
    <w:rsid w:val="0025594C"/>
    <w:rsid w:val="002A1736"/>
    <w:rsid w:val="002E296A"/>
    <w:rsid w:val="003C2AF5"/>
    <w:rsid w:val="00452EC0"/>
    <w:rsid w:val="00570E9D"/>
    <w:rsid w:val="00694863"/>
    <w:rsid w:val="007116A4"/>
    <w:rsid w:val="00715BB8"/>
    <w:rsid w:val="008D465E"/>
    <w:rsid w:val="009B6970"/>
    <w:rsid w:val="00A207C2"/>
    <w:rsid w:val="00A518DE"/>
    <w:rsid w:val="00B149F4"/>
    <w:rsid w:val="00B7569D"/>
    <w:rsid w:val="00CC3B29"/>
    <w:rsid w:val="00CC788E"/>
    <w:rsid w:val="00DC7231"/>
    <w:rsid w:val="00E05EFB"/>
    <w:rsid w:val="00E10A0F"/>
    <w:rsid w:val="00E43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C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6F1F"/>
    <w:pPr>
      <w:ind w:left="720"/>
      <w:contextualSpacing/>
    </w:pPr>
  </w:style>
  <w:style w:type="paragraph" w:styleId="a4">
    <w:name w:val="footer"/>
    <w:basedOn w:val="a"/>
    <w:link w:val="a5"/>
    <w:uiPriority w:val="99"/>
    <w:rsid w:val="002E296A"/>
    <w:pPr>
      <w:tabs>
        <w:tab w:val="center" w:pos="4677"/>
        <w:tab w:val="right" w:pos="9355"/>
      </w:tabs>
    </w:pPr>
  </w:style>
  <w:style w:type="character" w:customStyle="1" w:styleId="a5">
    <w:name w:val="Нижний колонтитул Знак"/>
    <w:basedOn w:val="a0"/>
    <w:link w:val="a4"/>
    <w:uiPriority w:val="99"/>
    <w:semiHidden/>
    <w:rsid w:val="00B061BE"/>
  </w:style>
  <w:style w:type="character" w:styleId="a6">
    <w:name w:val="page number"/>
    <w:basedOn w:val="a0"/>
    <w:uiPriority w:val="99"/>
    <w:rsid w:val="002E296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C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6F1F"/>
    <w:pPr>
      <w:ind w:left="720"/>
      <w:contextualSpacing/>
    </w:pPr>
  </w:style>
  <w:style w:type="paragraph" w:styleId="a4">
    <w:name w:val="footer"/>
    <w:basedOn w:val="a"/>
    <w:link w:val="a5"/>
    <w:uiPriority w:val="99"/>
    <w:rsid w:val="002E296A"/>
    <w:pPr>
      <w:tabs>
        <w:tab w:val="center" w:pos="4677"/>
        <w:tab w:val="right" w:pos="9355"/>
      </w:tabs>
    </w:pPr>
  </w:style>
  <w:style w:type="character" w:customStyle="1" w:styleId="a5">
    <w:name w:val="Нижний колонтитул Знак"/>
    <w:basedOn w:val="a0"/>
    <w:link w:val="a4"/>
    <w:uiPriority w:val="99"/>
    <w:semiHidden/>
    <w:rsid w:val="00B061BE"/>
  </w:style>
  <w:style w:type="character" w:styleId="a6">
    <w:name w:val="page number"/>
    <w:basedOn w:val="a0"/>
    <w:uiPriority w:val="99"/>
    <w:rsid w:val="002E296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gov.ru/"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173448/?dst=1000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A0DFD979935BBD635355E584C13254983D8DCAD23AAD048D60F425C49C79D218456026131878AA1Z8A6H" TargetMode="External"/><Relationship Id="rId4" Type="http://schemas.openxmlformats.org/officeDocument/2006/relationships/settings" Target="settings.xml"/><Relationship Id="rId9" Type="http://schemas.openxmlformats.org/officeDocument/2006/relationships/hyperlink" Target="consultantplus://offline/ref=8A0DFD979935BBD635355E584C13254983D8DCAD23AAD048D60F425C49C79D218456026131878AA1Z8A6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10705</Words>
  <Characters>61020</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MSR PK</Company>
  <LinksUpToDate>false</LinksUpToDate>
  <CharactersWithSpaces>71582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Голдырева Инга Викторовна</dc:creator>
  <cp:lastModifiedBy>Желватых Елена Александровна</cp:lastModifiedBy>
  <cp:revision>2</cp:revision>
  <dcterms:created xsi:type="dcterms:W3CDTF">2016-02-20T10:02:00Z</dcterms:created>
  <dcterms:modified xsi:type="dcterms:W3CDTF">2016-02-20T10:02:00Z</dcterms:modified>
</cp:coreProperties>
</file>